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C4" w:rsidRPr="00694D44" w:rsidRDefault="00694D44" w:rsidP="00694D44">
      <w:pPr>
        <w:pStyle w:val="Body"/>
        <w:spacing w:before="0" w:after="160" w:line="276" w:lineRule="auto"/>
        <w:jc w:val="center"/>
        <w:rPr>
          <w:b/>
        </w:rPr>
      </w:pPr>
      <w:r w:rsidRPr="00694D44">
        <w:rPr>
          <w:b/>
        </w:rPr>
        <w:t>BADMINTON ENGLAND DATA BREACH NOTICE</w:t>
      </w:r>
    </w:p>
    <w:p w:rsidR="00D53DEB" w:rsidRPr="00694D44" w:rsidRDefault="00D53DEB" w:rsidP="00694D44">
      <w:pPr>
        <w:pStyle w:val="Body"/>
        <w:spacing w:before="0" w:after="160" w:line="276" w:lineRule="auto"/>
      </w:pPr>
      <w:r w:rsidRPr="00694D44">
        <w:t xml:space="preserve">This note focuses on the key legal elements of responding to a breach of personal data security, principally the obligation to notify data protection authorities or data subjects. </w:t>
      </w:r>
    </w:p>
    <w:p w:rsidR="00D53DEB" w:rsidRPr="00694D44" w:rsidRDefault="00D53DEB" w:rsidP="00694D44">
      <w:pPr>
        <w:pStyle w:val="Body"/>
        <w:spacing w:before="0" w:after="160" w:line="276" w:lineRule="auto"/>
      </w:pPr>
      <w:r w:rsidRPr="00694D44">
        <w:t xml:space="preserve">The General Data Protection Regulation (GDPR) introduces an obligation </w:t>
      </w:r>
      <w:r w:rsidR="0065003E" w:rsidRPr="00694D44">
        <w:t>on</w:t>
      </w:r>
      <w:r w:rsidRPr="00694D44">
        <w:t xml:space="preserve"> all organisations acting as data controllers </w:t>
      </w:r>
      <w:r w:rsidR="0065003E" w:rsidRPr="00694D44">
        <w:t>to</w:t>
      </w:r>
      <w:r w:rsidRPr="00694D44">
        <w:t xml:space="preserve"> report </w:t>
      </w:r>
      <w:r w:rsidR="003E1936" w:rsidRPr="00694D44">
        <w:t>data breaches and losses</w:t>
      </w:r>
      <w:r w:rsidRPr="00694D44">
        <w:t xml:space="preserve"> involving personal data to their relevant supervisory authority </w:t>
      </w:r>
      <w:r w:rsidR="0065003E" w:rsidRPr="00694D44">
        <w:t>e.g</w:t>
      </w:r>
      <w:r w:rsidRPr="00694D44">
        <w:t>. the I</w:t>
      </w:r>
      <w:r w:rsidR="00531D4B" w:rsidRPr="00694D44">
        <w:t xml:space="preserve">nformation Commissioner’s </w:t>
      </w:r>
      <w:r w:rsidRPr="00694D44">
        <w:t>O</w:t>
      </w:r>
      <w:r w:rsidR="00531D4B" w:rsidRPr="00694D44">
        <w:t>ffice (ICO)</w:t>
      </w:r>
      <w:r w:rsidRPr="00694D44">
        <w:t xml:space="preserve"> if the breach </w:t>
      </w:r>
      <w:r w:rsidR="003E1936" w:rsidRPr="00694D44">
        <w:t xml:space="preserve">or loss </w:t>
      </w:r>
      <w:r w:rsidRPr="00694D44">
        <w:t xml:space="preserve">is likely to result in a risk to individuals' rights and freedoms. </w:t>
      </w:r>
    </w:p>
    <w:p w:rsidR="00A3092D" w:rsidRPr="00694D44" w:rsidRDefault="00A3092D" w:rsidP="00694D44">
      <w:pPr>
        <w:pStyle w:val="Body"/>
        <w:spacing w:before="0" w:after="160" w:line="276" w:lineRule="auto"/>
      </w:pPr>
      <w:r w:rsidRPr="00694D44">
        <w:t xml:space="preserve">For more detailed guidance please see </w:t>
      </w:r>
      <w:hyperlink r:id="rId8" w:history="1">
        <w:r w:rsidR="00F67BAA" w:rsidRPr="00694D44">
          <w:rPr>
            <w:rStyle w:val="Hyperlink"/>
          </w:rPr>
          <w:t>https://ico.org.uk/for-organisations/guide-to-the-general-data-protection-regulation-gdpr/personal-data-breaches/</w:t>
        </w:r>
      </w:hyperlink>
      <w:r w:rsidR="00F67BAA" w:rsidRPr="00694D44">
        <w:t xml:space="preserve">. </w:t>
      </w:r>
    </w:p>
    <w:p w:rsidR="00A3092D" w:rsidRPr="00694D44" w:rsidRDefault="00A3092D" w:rsidP="00694D44">
      <w:pPr>
        <w:pStyle w:val="Level1"/>
        <w:spacing w:before="0" w:after="160" w:line="276" w:lineRule="auto"/>
        <w:rPr>
          <w:b/>
        </w:rPr>
      </w:pPr>
      <w:r w:rsidRPr="00694D44">
        <w:rPr>
          <w:b/>
        </w:rPr>
        <w:t>What is a breach?</w:t>
      </w:r>
    </w:p>
    <w:p w:rsidR="00A3092D" w:rsidRPr="00694D44" w:rsidRDefault="00A3092D" w:rsidP="00694D44">
      <w:pPr>
        <w:pStyle w:val="Body"/>
        <w:spacing w:before="0" w:after="160" w:line="276" w:lineRule="auto"/>
      </w:pPr>
      <w:r w:rsidRPr="00694D44">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rsidR="00A3092D" w:rsidRPr="00694D44" w:rsidRDefault="00A3092D" w:rsidP="00694D44">
      <w:pPr>
        <w:pStyle w:val="Body"/>
        <w:spacing w:before="0" w:after="160" w:line="276" w:lineRule="auto"/>
      </w:pPr>
      <w:r w:rsidRPr="00694D44">
        <w:t>Personal data breaches can</w:t>
      </w:r>
      <w:r w:rsidR="009F0C9F" w:rsidRPr="00694D44">
        <w:t xml:space="preserve"> therefore</w:t>
      </w:r>
      <w:r w:rsidRPr="00694D44">
        <w:t xml:space="preserve"> include:</w:t>
      </w:r>
    </w:p>
    <w:p w:rsidR="00A3092D" w:rsidRPr="00694D44" w:rsidRDefault="00A3092D" w:rsidP="00694D44">
      <w:pPr>
        <w:pStyle w:val="Body"/>
        <w:numPr>
          <w:ilvl w:val="0"/>
          <w:numId w:val="31"/>
        </w:numPr>
        <w:spacing w:before="0" w:after="160" w:line="276" w:lineRule="auto"/>
      </w:pPr>
      <w:r w:rsidRPr="00694D44">
        <w:t xml:space="preserve">access </w:t>
      </w:r>
      <w:r w:rsidR="009C7EA9" w:rsidRPr="00694D44">
        <w:t xml:space="preserve">of a database </w:t>
      </w:r>
      <w:r w:rsidRPr="00694D44">
        <w:t>by an unauthorised third party;</w:t>
      </w:r>
    </w:p>
    <w:p w:rsidR="00A3092D" w:rsidRPr="00694D44" w:rsidRDefault="00A3092D" w:rsidP="00694D44">
      <w:pPr>
        <w:pStyle w:val="Body"/>
        <w:numPr>
          <w:ilvl w:val="0"/>
          <w:numId w:val="31"/>
        </w:numPr>
        <w:spacing w:before="0" w:after="160" w:line="276" w:lineRule="auto"/>
      </w:pPr>
      <w:r w:rsidRPr="00694D44">
        <w:t xml:space="preserve">sending personal data to </w:t>
      </w:r>
      <w:r w:rsidR="009C7EA9" w:rsidRPr="00694D44">
        <w:t>the wrong</w:t>
      </w:r>
      <w:r w:rsidRPr="00694D44">
        <w:t xml:space="preserve"> recipient;</w:t>
      </w:r>
    </w:p>
    <w:p w:rsidR="00A3092D" w:rsidRPr="00694D44" w:rsidRDefault="009C7EA9" w:rsidP="00694D44">
      <w:pPr>
        <w:pStyle w:val="Body"/>
        <w:numPr>
          <w:ilvl w:val="0"/>
          <w:numId w:val="31"/>
        </w:numPr>
        <w:spacing w:before="0" w:after="160" w:line="276" w:lineRule="auto"/>
      </w:pPr>
      <w:r w:rsidRPr="00694D44">
        <w:t xml:space="preserve">devices such as USB sticks, </w:t>
      </w:r>
      <w:r w:rsidR="009F0C9F" w:rsidRPr="00694D44">
        <w:t xml:space="preserve">laptops or mobiles </w:t>
      </w:r>
      <w:r w:rsidR="00A3092D" w:rsidRPr="00694D44">
        <w:t>containing personal data being lost or stolen; </w:t>
      </w:r>
    </w:p>
    <w:p w:rsidR="00A3092D" w:rsidRPr="00694D44" w:rsidRDefault="00A3092D" w:rsidP="00694D44">
      <w:pPr>
        <w:pStyle w:val="Body"/>
        <w:numPr>
          <w:ilvl w:val="0"/>
          <w:numId w:val="31"/>
        </w:numPr>
        <w:spacing w:before="0" w:after="160" w:line="276" w:lineRule="auto"/>
      </w:pPr>
      <w:r w:rsidRPr="00694D44">
        <w:t>alteration of personal data without permission; and</w:t>
      </w:r>
    </w:p>
    <w:p w:rsidR="00A3092D" w:rsidRPr="00694D44" w:rsidRDefault="00A3092D" w:rsidP="00694D44">
      <w:pPr>
        <w:pStyle w:val="Body"/>
        <w:numPr>
          <w:ilvl w:val="0"/>
          <w:numId w:val="31"/>
        </w:numPr>
        <w:spacing w:before="0" w:after="160" w:line="276" w:lineRule="auto"/>
      </w:pPr>
      <w:proofErr w:type="gramStart"/>
      <w:r w:rsidRPr="00694D44">
        <w:t>loss</w:t>
      </w:r>
      <w:proofErr w:type="gramEnd"/>
      <w:r w:rsidRPr="00694D44">
        <w:t xml:space="preserve"> of availability </w:t>
      </w:r>
      <w:r w:rsidR="009F0C9F" w:rsidRPr="00694D44">
        <w:t xml:space="preserve">(even if it is just temporary) </w:t>
      </w:r>
      <w:r w:rsidRPr="00694D44">
        <w:t>of personal data</w:t>
      </w:r>
      <w:r w:rsidR="0065003E" w:rsidRPr="00694D44">
        <w:t xml:space="preserve">, for example, </w:t>
      </w:r>
      <w:r w:rsidR="009F0C9F" w:rsidRPr="00694D44">
        <w:t>where there has been a back-up failure.</w:t>
      </w:r>
    </w:p>
    <w:p w:rsidR="009F0C9F" w:rsidRPr="00694D44" w:rsidRDefault="008546A4" w:rsidP="00694D44">
      <w:pPr>
        <w:pStyle w:val="Level1"/>
        <w:spacing w:before="0" w:after="160" w:line="276" w:lineRule="auto"/>
        <w:rPr>
          <w:b/>
        </w:rPr>
      </w:pPr>
      <w:r w:rsidRPr="00694D44">
        <w:rPr>
          <w:b/>
        </w:rPr>
        <w:t>When do you have to report a breach?</w:t>
      </w:r>
    </w:p>
    <w:p w:rsidR="008546A4" w:rsidRPr="00694D44" w:rsidRDefault="008546A4" w:rsidP="00694D44">
      <w:pPr>
        <w:pStyle w:val="Body"/>
        <w:spacing w:before="0" w:after="160" w:line="276" w:lineRule="auto"/>
      </w:pPr>
      <w:r w:rsidRPr="00694D44">
        <w:t xml:space="preserve">All personal data breaches must be recorded if you are a data controller of the relevant personal data, including the facts relating to the personal data breach, the effects of the breach and any remedial action taken in response </w:t>
      </w:r>
      <w:r w:rsidRPr="00694D44">
        <w:rPr>
          <w:i/>
        </w:rPr>
        <w:t xml:space="preserve">(Article 33(5), GDPR) </w:t>
      </w:r>
      <w:r w:rsidRPr="00694D44">
        <w:t>as data protection authorities may demand the right to inspect these records.  However, only certain personal data breaches must be proactively notified to the relevant supervisory body and individuals</w:t>
      </w:r>
      <w:r w:rsidR="0035203F" w:rsidRPr="00694D44">
        <w:t xml:space="preserve"> concerned</w:t>
      </w:r>
      <w:r w:rsidRPr="00694D44">
        <w:t>.</w:t>
      </w:r>
    </w:p>
    <w:p w:rsidR="0035203F" w:rsidRPr="00694D44" w:rsidRDefault="0035203F" w:rsidP="00694D44">
      <w:pPr>
        <w:pStyle w:val="Level2"/>
        <w:spacing w:before="0" w:after="160" w:line="276" w:lineRule="auto"/>
        <w:rPr>
          <w:b/>
        </w:rPr>
      </w:pPr>
      <w:bookmarkStart w:id="0" w:name="_Ref512356795"/>
      <w:r w:rsidRPr="00694D44">
        <w:rPr>
          <w:b/>
        </w:rPr>
        <w:t>Supervisory Authority</w:t>
      </w:r>
      <w:bookmarkEnd w:id="0"/>
    </w:p>
    <w:p w:rsidR="00531D4B" w:rsidRPr="00694D44" w:rsidRDefault="0035203F" w:rsidP="00694D44">
      <w:pPr>
        <w:pStyle w:val="Body"/>
        <w:spacing w:before="0" w:after="160" w:line="276" w:lineRule="auto"/>
      </w:pPr>
      <w:r w:rsidRPr="00694D44">
        <w:t xml:space="preserve">Notification to the ICO is only triggered where a breach is likely to result in a risk to individuals' rights and freedoms. </w:t>
      </w:r>
      <w:r w:rsidR="00531D4B" w:rsidRPr="00694D44">
        <w:rPr>
          <w:i/>
        </w:rPr>
        <w:t>(NB: in the case of a breach affecting individuals in different EU countries, the ICO may not be the lead supervisory authority. This means that as part of your ‘breach response plan’, you should establish which European data protection agency would be your lead supervisory authority for the processing activities that have been subject to the breach</w:t>
      </w:r>
      <w:r w:rsidR="00813749" w:rsidRPr="00694D44">
        <w:rPr>
          <w:i/>
        </w:rPr>
        <w:t xml:space="preserve"> i.e. you need to know which EEA country any data processors operate in</w:t>
      </w:r>
      <w:r w:rsidR="00531D4B" w:rsidRPr="00694D44">
        <w:rPr>
          <w:i/>
        </w:rPr>
        <w:t xml:space="preserve">). </w:t>
      </w:r>
    </w:p>
    <w:p w:rsidR="0035203F" w:rsidRPr="00694D44" w:rsidRDefault="0035203F" w:rsidP="00694D44">
      <w:pPr>
        <w:pStyle w:val="Body"/>
        <w:spacing w:before="0" w:after="160" w:line="276" w:lineRule="auto"/>
      </w:pPr>
      <w:r w:rsidRPr="00694D44">
        <w:t>When assessing the risk to individuals, organisations will need to consider the specific circumstances of the breach, including the likelihood, severity and potential impact of the risk. The Article 29 Working Party (</w:t>
      </w:r>
      <w:r w:rsidRPr="00694D44">
        <w:rPr>
          <w:b/>
        </w:rPr>
        <w:t>WP29</w:t>
      </w:r>
      <w:r w:rsidRPr="00694D44">
        <w:t xml:space="preserve">) </w:t>
      </w:r>
      <w:r w:rsidR="006770B2" w:rsidRPr="00694D44">
        <w:rPr>
          <w:rFonts w:eastAsia="Times New Roman"/>
          <w:color w:val="000000"/>
        </w:rPr>
        <w:t xml:space="preserve">(which was set up to provide the European Commission with independent advice on data protection matters and helps in the development of harmonised policies for data protection in the EU Member States) </w:t>
      </w:r>
      <w:r w:rsidRPr="00694D44">
        <w:t>recommends considering the following factors when assessing risk:</w:t>
      </w:r>
    </w:p>
    <w:p w:rsidR="0035203F" w:rsidRPr="00694D44" w:rsidRDefault="0035203F" w:rsidP="00694D44">
      <w:pPr>
        <w:pStyle w:val="Bullet1"/>
        <w:spacing w:before="0" w:after="160" w:line="276" w:lineRule="auto"/>
      </w:pPr>
      <w:r w:rsidRPr="00694D44">
        <w:t>Type of breach.</w:t>
      </w:r>
    </w:p>
    <w:p w:rsidR="0035203F" w:rsidRPr="00694D44" w:rsidRDefault="0035203F" w:rsidP="00694D44">
      <w:pPr>
        <w:pStyle w:val="Bullet1"/>
        <w:spacing w:before="0" w:after="160" w:line="276" w:lineRule="auto"/>
      </w:pPr>
      <w:r w:rsidRPr="00694D44">
        <w:t>Nature, sensitivity and volume of personal data.</w:t>
      </w:r>
    </w:p>
    <w:p w:rsidR="0035203F" w:rsidRPr="00694D44" w:rsidRDefault="006770B2" w:rsidP="00694D44">
      <w:pPr>
        <w:pStyle w:val="Bullet1"/>
        <w:spacing w:before="0" w:after="160" w:line="276" w:lineRule="auto"/>
      </w:pPr>
      <w:r w:rsidRPr="00694D44">
        <w:t>How easy it is to identify</w:t>
      </w:r>
      <w:r w:rsidR="0035203F" w:rsidRPr="00694D44">
        <w:t xml:space="preserve"> individuals.</w:t>
      </w:r>
    </w:p>
    <w:p w:rsidR="0035203F" w:rsidRPr="00694D44" w:rsidRDefault="006770B2" w:rsidP="00694D44">
      <w:pPr>
        <w:pStyle w:val="Bullet1"/>
        <w:spacing w:before="0" w:after="160" w:line="276" w:lineRule="auto"/>
      </w:pPr>
      <w:r w:rsidRPr="00694D44">
        <w:t>How severe the</w:t>
      </w:r>
      <w:r w:rsidR="0035203F" w:rsidRPr="00694D44">
        <w:t xml:space="preserve"> consequences </w:t>
      </w:r>
      <w:r w:rsidRPr="00694D44">
        <w:t>are for</w:t>
      </w:r>
      <w:r w:rsidR="0035203F" w:rsidRPr="00694D44">
        <w:t xml:space="preserve"> individuals.</w:t>
      </w:r>
    </w:p>
    <w:p w:rsidR="0035203F" w:rsidRPr="00694D44" w:rsidRDefault="0035203F" w:rsidP="00694D44">
      <w:pPr>
        <w:pStyle w:val="Bullet1"/>
        <w:spacing w:before="0" w:after="160" w:line="276" w:lineRule="auto"/>
      </w:pPr>
      <w:r w:rsidRPr="00694D44">
        <w:lastRenderedPageBreak/>
        <w:t>Special characteristics of the individual (for example, children or other vulnerable individuals may be at greater risk).</w:t>
      </w:r>
    </w:p>
    <w:p w:rsidR="0035203F" w:rsidRPr="00694D44" w:rsidRDefault="0035203F" w:rsidP="00694D44">
      <w:pPr>
        <w:pStyle w:val="Bullet1"/>
        <w:spacing w:before="0" w:after="160" w:line="276" w:lineRule="auto"/>
      </w:pPr>
      <w:r w:rsidRPr="00694D44">
        <w:t>Number of individuals affected.</w:t>
      </w:r>
    </w:p>
    <w:p w:rsidR="0035203F" w:rsidRPr="00694D44" w:rsidRDefault="0035203F" w:rsidP="00694D44">
      <w:pPr>
        <w:pStyle w:val="Bullet1"/>
        <w:spacing w:before="0" w:after="160" w:line="276" w:lineRule="auto"/>
      </w:pPr>
      <w:r w:rsidRPr="00694D44">
        <w:t>Specific characteristics of t</w:t>
      </w:r>
      <w:r w:rsidR="006770B2" w:rsidRPr="00694D44">
        <w:t>he data controller (for example</w:t>
      </w:r>
      <w:r w:rsidRPr="00694D44">
        <w:t xml:space="preserve"> </w:t>
      </w:r>
      <w:r w:rsidR="006770B2" w:rsidRPr="00694D44">
        <w:t>a sports</w:t>
      </w:r>
      <w:r w:rsidRPr="00694D44">
        <w:t xml:space="preserve"> organisation processing </w:t>
      </w:r>
      <w:r w:rsidR="006770B2" w:rsidRPr="00694D44">
        <w:t xml:space="preserve">large amounts of </w:t>
      </w:r>
      <w:r w:rsidRPr="00694D44">
        <w:t xml:space="preserve">special categories of personal data will pose a greater threat than the mailing list of a </w:t>
      </w:r>
      <w:r w:rsidR="006770B2" w:rsidRPr="00694D44">
        <w:t>club</w:t>
      </w:r>
      <w:r w:rsidRPr="00694D44">
        <w:t>).</w:t>
      </w:r>
    </w:p>
    <w:p w:rsidR="00AF341C" w:rsidRPr="00694D44" w:rsidRDefault="00AF341C" w:rsidP="00694D44">
      <w:pPr>
        <w:pStyle w:val="Body"/>
        <w:spacing w:before="0" w:after="160" w:line="276" w:lineRule="auto"/>
        <w:rPr>
          <w:b/>
          <w:i/>
        </w:rPr>
      </w:pPr>
      <w:r w:rsidRPr="00694D44">
        <w:rPr>
          <w:b/>
          <w:i/>
        </w:rPr>
        <w:t>Example</w:t>
      </w:r>
    </w:p>
    <w:p w:rsidR="00496D8A" w:rsidRPr="00694D44" w:rsidRDefault="00AF341C" w:rsidP="00694D44">
      <w:pPr>
        <w:pStyle w:val="Body"/>
        <w:spacing w:before="0" w:after="160" w:line="276" w:lineRule="auto"/>
      </w:pPr>
      <w:r w:rsidRPr="00694D44">
        <w:rPr>
          <w:i/>
        </w:rPr>
        <w:t>The</w:t>
      </w:r>
      <w:r w:rsidR="00496D8A" w:rsidRPr="00694D44">
        <w:rPr>
          <w:i/>
        </w:rPr>
        <w:t xml:space="preserve"> ICO recommends that</w:t>
      </w:r>
      <w:r w:rsidR="006770B2" w:rsidRPr="00694D44">
        <w:rPr>
          <w:i/>
        </w:rPr>
        <w:t xml:space="preserve"> where there has been</w:t>
      </w:r>
      <w:r w:rsidR="00496D8A" w:rsidRPr="00694D44">
        <w:rPr>
          <w:i/>
        </w:rPr>
        <w:t xml:space="preserve"> theft of a database e.g. for your membership contracts where you hold any payment or bank details for those members, the data of which may be used to commit identity fraud, </w:t>
      </w:r>
      <w:r w:rsidR="00EE500F" w:rsidRPr="00694D44">
        <w:rPr>
          <w:i/>
        </w:rPr>
        <w:t xml:space="preserve">your members </w:t>
      </w:r>
      <w:r w:rsidR="00496D8A" w:rsidRPr="00694D44">
        <w:rPr>
          <w:i/>
        </w:rPr>
        <w:t>would need to be notified, given the impact this is likely to have on those individuals who could suffer financial loss or other consequences. On the other hand, it suggests that you would not</w:t>
      </w:r>
      <w:r w:rsidR="00496D8A" w:rsidRPr="00694D44">
        <w:t xml:space="preserve"> normally need to notify the ICO, for example, about the loss or alteration of a staff telephone list.</w:t>
      </w:r>
    </w:p>
    <w:p w:rsidR="0035203F" w:rsidRPr="00694D44" w:rsidRDefault="0035203F" w:rsidP="00694D44">
      <w:pPr>
        <w:pStyle w:val="Level2"/>
        <w:spacing w:before="0" w:after="160" w:line="276" w:lineRule="auto"/>
        <w:rPr>
          <w:b/>
        </w:rPr>
      </w:pPr>
      <w:r w:rsidRPr="00694D44">
        <w:rPr>
          <w:b/>
        </w:rPr>
        <w:t>Individuals</w:t>
      </w:r>
    </w:p>
    <w:p w:rsidR="0035203F" w:rsidRPr="00694D44" w:rsidRDefault="0035203F" w:rsidP="00694D44">
      <w:pPr>
        <w:pStyle w:val="Level1"/>
        <w:numPr>
          <w:ilvl w:val="0"/>
          <w:numId w:val="0"/>
        </w:numPr>
        <w:spacing w:before="0" w:after="160" w:line="276" w:lineRule="auto"/>
      </w:pPr>
      <w:r w:rsidRPr="00694D44">
        <w:t xml:space="preserve">The requirement to communicate a breach to individuals is triggered where a breach is likely to result in a high risk to their rights and freedoms. The same factors listed above </w:t>
      </w:r>
      <w:r w:rsidR="006770B2" w:rsidRPr="00694D44">
        <w:t xml:space="preserve">at paragraph </w:t>
      </w:r>
      <w:r w:rsidR="006770B2" w:rsidRPr="00694D44">
        <w:fldChar w:fldCharType="begin"/>
      </w:r>
      <w:r w:rsidR="006770B2" w:rsidRPr="00694D44">
        <w:instrText xml:space="preserve"> REF _Ref512356795 \r \h </w:instrText>
      </w:r>
      <w:r w:rsidR="00813749" w:rsidRPr="00694D44">
        <w:instrText xml:space="preserve"> \* MERGEFORMAT </w:instrText>
      </w:r>
      <w:r w:rsidR="006770B2" w:rsidRPr="00694D44">
        <w:fldChar w:fldCharType="separate"/>
      </w:r>
      <w:r w:rsidR="006770B2" w:rsidRPr="00694D44">
        <w:t>2.1</w:t>
      </w:r>
      <w:r w:rsidR="006770B2" w:rsidRPr="00694D44">
        <w:fldChar w:fldCharType="end"/>
      </w:r>
      <w:r w:rsidR="006770B2" w:rsidRPr="00694D44">
        <w:t xml:space="preserve"> </w:t>
      </w:r>
      <w:r w:rsidRPr="00694D44">
        <w:t>should be applied in assessing whether notification to individuals is required. WP29 suggests a presumption of high risk to individuals where the personal data involved is special categories of </w:t>
      </w:r>
      <w:r w:rsidRPr="00694D44">
        <w:rPr>
          <w:rStyle w:val="cosearchterm"/>
          <w:bCs/>
          <w:color w:val="252525"/>
        </w:rPr>
        <w:t>data</w:t>
      </w:r>
      <w:r w:rsidRPr="00694D44">
        <w:t>. In practice, where notification to individuals is required, notification to the relevant supervisory authority will always be required.</w:t>
      </w:r>
    </w:p>
    <w:p w:rsidR="0035203F" w:rsidRPr="00694D44" w:rsidRDefault="0035203F" w:rsidP="00694D44">
      <w:pPr>
        <w:pStyle w:val="Level1"/>
        <w:numPr>
          <w:ilvl w:val="0"/>
          <w:numId w:val="0"/>
        </w:numPr>
        <w:spacing w:before="0" w:after="160" w:line="276" w:lineRule="auto"/>
      </w:pPr>
      <w:r w:rsidRPr="00694D44">
        <w:t>Whether individuals should be notified will depend on the circumstances of the </w:t>
      </w:r>
      <w:r w:rsidRPr="00694D44">
        <w:rPr>
          <w:rStyle w:val="cosearchterm"/>
          <w:bCs/>
          <w:color w:val="252525"/>
        </w:rPr>
        <w:t>breach</w:t>
      </w:r>
      <w:r w:rsidRPr="00694D44">
        <w:t>. For example, a loss of </w:t>
      </w:r>
      <w:r w:rsidRPr="00694D44">
        <w:rPr>
          <w:rStyle w:val="cosearchterm"/>
          <w:bCs/>
          <w:color w:val="252525"/>
        </w:rPr>
        <w:t>data</w:t>
      </w:r>
      <w:r w:rsidRPr="00694D44">
        <w:t> which can be confirmed as encrypted and where the key has not been compromised, may represent a very low risk, and would not require notification to individuals (or indeed the supervisory authorities). However, even where </w:t>
      </w:r>
      <w:r w:rsidRPr="00694D44">
        <w:rPr>
          <w:rStyle w:val="cosearchterm"/>
          <w:bCs/>
          <w:color w:val="252525"/>
        </w:rPr>
        <w:t>data</w:t>
      </w:r>
      <w:r w:rsidRPr="00694D44">
        <w:t> is encrypted, if there are no comprehensive backups of the </w:t>
      </w:r>
      <w:r w:rsidRPr="00694D44">
        <w:rPr>
          <w:rStyle w:val="cosearchterm"/>
          <w:bCs/>
          <w:color w:val="252525"/>
        </w:rPr>
        <w:t>data</w:t>
      </w:r>
      <w:r w:rsidRPr="00694D44">
        <w:t>, then this could have negative consequences for individuals which could require notification (</w:t>
      </w:r>
      <w:r w:rsidRPr="00694D44">
        <w:rPr>
          <w:b/>
          <w:i/>
        </w:rPr>
        <w:t>WP29 Guidelines</w:t>
      </w:r>
      <w:r w:rsidRPr="00694D44">
        <w:t>).</w:t>
      </w:r>
    </w:p>
    <w:p w:rsidR="00531D4B" w:rsidRPr="00694D44" w:rsidRDefault="00531D4B" w:rsidP="00694D44">
      <w:pPr>
        <w:pStyle w:val="Level1"/>
        <w:numPr>
          <w:ilvl w:val="0"/>
          <w:numId w:val="0"/>
        </w:numPr>
        <w:spacing w:before="0" w:after="160" w:line="276" w:lineRule="auto"/>
        <w:rPr>
          <w:i/>
        </w:rPr>
      </w:pPr>
      <w:r w:rsidRPr="00694D44">
        <w:rPr>
          <w:i/>
        </w:rPr>
        <w:t>NB: the ICO has the power to compel you to inform affected individuals if it considers there is a high risk.</w:t>
      </w:r>
    </w:p>
    <w:p w:rsidR="00AF341C" w:rsidRPr="00694D44" w:rsidRDefault="00AF341C" w:rsidP="00694D44">
      <w:pPr>
        <w:pStyle w:val="Level1"/>
        <w:numPr>
          <w:ilvl w:val="0"/>
          <w:numId w:val="0"/>
        </w:numPr>
        <w:spacing w:before="0" w:after="160" w:line="276" w:lineRule="auto"/>
        <w:rPr>
          <w:b/>
          <w:i/>
        </w:rPr>
      </w:pPr>
      <w:r w:rsidRPr="00694D44">
        <w:rPr>
          <w:b/>
          <w:i/>
        </w:rPr>
        <w:t>Example</w:t>
      </w:r>
    </w:p>
    <w:p w:rsidR="00AF341C" w:rsidRPr="00694D44" w:rsidRDefault="00AF341C" w:rsidP="00694D44">
      <w:pPr>
        <w:pStyle w:val="Level1"/>
        <w:numPr>
          <w:ilvl w:val="0"/>
          <w:numId w:val="0"/>
        </w:numPr>
        <w:spacing w:before="0" w:after="160" w:line="276" w:lineRule="auto"/>
        <w:rPr>
          <w:i/>
        </w:rPr>
      </w:pPr>
      <w:r w:rsidRPr="00694D44">
        <w:rPr>
          <w:i/>
        </w:rPr>
        <w:t>If your organisation suffers a breach that results in an accidental disclosure of some of its players’/participants’ medical records, there is likely to be a significant impact on the affected individuals because of the sensitivity of the data and their confidential medical details becoming known to others. This is likely to result in a high risk to their rights and freedoms, so they would need to be informed about the breach.</w:t>
      </w:r>
    </w:p>
    <w:p w:rsidR="008546A4" w:rsidRPr="00694D44" w:rsidRDefault="00187199" w:rsidP="00694D44">
      <w:pPr>
        <w:pStyle w:val="Level1"/>
        <w:spacing w:before="0" w:after="160" w:line="276" w:lineRule="auto"/>
        <w:rPr>
          <w:b/>
        </w:rPr>
      </w:pPr>
      <w:r w:rsidRPr="00694D44">
        <w:rPr>
          <w:b/>
        </w:rPr>
        <w:t>What information needs to be contained in the notification?</w:t>
      </w:r>
    </w:p>
    <w:p w:rsidR="00187199" w:rsidRPr="00694D44" w:rsidRDefault="00187199" w:rsidP="00694D44">
      <w:pPr>
        <w:pStyle w:val="Level2"/>
        <w:spacing w:before="0" w:after="160" w:line="276" w:lineRule="auto"/>
        <w:rPr>
          <w:b/>
          <w:color w:val="212121"/>
        </w:rPr>
      </w:pPr>
      <w:r w:rsidRPr="00694D44">
        <w:rPr>
          <w:b/>
          <w:color w:val="212121"/>
        </w:rPr>
        <w:t>Supervisory authority</w:t>
      </w:r>
    </w:p>
    <w:p w:rsidR="005B7D24" w:rsidRPr="00694D44" w:rsidRDefault="005B7D24" w:rsidP="00694D44">
      <w:pPr>
        <w:pStyle w:val="Level1"/>
        <w:numPr>
          <w:ilvl w:val="0"/>
          <w:numId w:val="0"/>
        </w:numPr>
        <w:spacing w:before="0" w:after="160" w:line="276" w:lineRule="auto"/>
        <w:ind w:left="850" w:hanging="850"/>
      </w:pPr>
      <w:r w:rsidRPr="00694D44">
        <w:t>The following information needs to be provided:</w:t>
      </w:r>
    </w:p>
    <w:p w:rsidR="00187199" w:rsidRPr="00694D44" w:rsidRDefault="00187199" w:rsidP="00694D44">
      <w:pPr>
        <w:pStyle w:val="Level3"/>
        <w:spacing w:before="0" w:after="160" w:line="276" w:lineRule="auto"/>
      </w:pPr>
      <w:r w:rsidRPr="00694D44">
        <w:t>A description of the nature of the personal data breach including, where possible, the categories and approximate number of individuals concerned and the categories and approximate number of personal data records concerned.</w:t>
      </w:r>
    </w:p>
    <w:p w:rsidR="00187199" w:rsidRPr="00694D44" w:rsidRDefault="00187199" w:rsidP="00694D44">
      <w:pPr>
        <w:pStyle w:val="Level3"/>
        <w:spacing w:before="0" w:after="160" w:line="276" w:lineRule="auto"/>
      </w:pPr>
      <w:r w:rsidRPr="00694D44">
        <w:t>The name and contact details of the data protection officer (if applicable) or other contact point where more information can be obtained.</w:t>
      </w:r>
    </w:p>
    <w:p w:rsidR="00187199" w:rsidRPr="00694D44" w:rsidRDefault="00187199" w:rsidP="00694D44">
      <w:pPr>
        <w:pStyle w:val="Level3"/>
        <w:spacing w:before="0" w:after="160" w:line="276" w:lineRule="auto"/>
      </w:pPr>
      <w:r w:rsidRPr="00694D44">
        <w:t>A description of the likely consequences of the personal data breach.</w:t>
      </w:r>
    </w:p>
    <w:p w:rsidR="00187199" w:rsidRPr="00694D44" w:rsidRDefault="00187199" w:rsidP="00694D44">
      <w:pPr>
        <w:pStyle w:val="Level3"/>
        <w:spacing w:before="0" w:after="160" w:line="276" w:lineRule="auto"/>
      </w:pPr>
      <w:r w:rsidRPr="00694D44">
        <w:lastRenderedPageBreak/>
        <w:t>A description of the measures taken, or proposed to be taken, to deal with the personal data breach, including, where appropriate, actions taken to mitigate any possible adverse effects.</w:t>
      </w:r>
    </w:p>
    <w:p w:rsidR="00E843E4" w:rsidRPr="00694D44" w:rsidRDefault="00E843E4" w:rsidP="00694D44">
      <w:pPr>
        <w:pStyle w:val="Level2"/>
        <w:spacing w:before="0" w:after="160" w:line="276" w:lineRule="auto"/>
        <w:rPr>
          <w:b/>
        </w:rPr>
      </w:pPr>
      <w:r w:rsidRPr="00694D44">
        <w:rPr>
          <w:b/>
        </w:rPr>
        <w:t>Individuals</w:t>
      </w:r>
    </w:p>
    <w:p w:rsidR="005B7D24" w:rsidRPr="00694D44" w:rsidRDefault="005B7D24" w:rsidP="00694D44">
      <w:pPr>
        <w:pStyle w:val="Level1"/>
        <w:numPr>
          <w:ilvl w:val="0"/>
          <w:numId w:val="0"/>
        </w:numPr>
        <w:spacing w:before="0" w:after="160" w:line="276" w:lineRule="auto"/>
      </w:pPr>
      <w:r w:rsidRPr="00694D44">
        <w:t>The following information needs to be provided:</w:t>
      </w:r>
    </w:p>
    <w:p w:rsidR="00E843E4" w:rsidRPr="00694D44" w:rsidRDefault="00E843E4" w:rsidP="00694D44">
      <w:pPr>
        <w:pStyle w:val="Level3"/>
        <w:spacing w:before="0" w:after="160" w:line="276" w:lineRule="auto"/>
      </w:pPr>
      <w:r w:rsidRPr="00694D44">
        <w:t>The name and contact details of the data protection officer (if applicable) or other contact point where more information can be obtained.</w:t>
      </w:r>
    </w:p>
    <w:p w:rsidR="00E843E4" w:rsidRPr="00694D44" w:rsidRDefault="00E843E4" w:rsidP="00694D44">
      <w:pPr>
        <w:pStyle w:val="Level3"/>
        <w:spacing w:before="0" w:after="160" w:line="276" w:lineRule="auto"/>
      </w:pPr>
      <w:r w:rsidRPr="00694D44">
        <w:t>A description of the likely consequences of the personal data breach.</w:t>
      </w:r>
    </w:p>
    <w:p w:rsidR="00E843E4" w:rsidRPr="00694D44" w:rsidRDefault="00E843E4" w:rsidP="00694D44">
      <w:pPr>
        <w:pStyle w:val="Level3"/>
        <w:spacing w:before="0" w:after="160" w:line="276" w:lineRule="auto"/>
      </w:pPr>
      <w:r w:rsidRPr="00694D44">
        <w:t>A description of the measures taken, or proposed to be taken, to deal with the personal data breach, including, where appropriate, actions taken to mitigate any possible adverse effects.</w:t>
      </w:r>
    </w:p>
    <w:p w:rsidR="00E843E4" w:rsidRPr="00694D44" w:rsidRDefault="00E843E4" w:rsidP="00694D44">
      <w:pPr>
        <w:pStyle w:val="Level2"/>
        <w:numPr>
          <w:ilvl w:val="0"/>
          <w:numId w:val="0"/>
        </w:numPr>
        <w:spacing w:before="0" w:after="160" w:line="276" w:lineRule="auto"/>
      </w:pPr>
      <w:r w:rsidRPr="00694D44">
        <w:t xml:space="preserve">In practice, </w:t>
      </w:r>
      <w:r w:rsidR="008D3FE9" w:rsidRPr="00694D44">
        <w:t>the ICO or other supervisory authority</w:t>
      </w:r>
      <w:r w:rsidRPr="00694D44">
        <w:t xml:space="preserve"> may assist a controller in identifying what information should be communicated to individuals. Dedicated messages to individuals about data breaches </w:t>
      </w:r>
      <w:r w:rsidR="008D3FE9" w:rsidRPr="00694D44">
        <w:t xml:space="preserve">should not form part of any press release or other media statement </w:t>
      </w:r>
      <w:r w:rsidR="009A34AF" w:rsidRPr="00694D44">
        <w:t xml:space="preserve">unless there are </w:t>
      </w:r>
      <w:r w:rsidRPr="00694D44">
        <w:t xml:space="preserve">no other means of contacting the individuals. </w:t>
      </w:r>
    </w:p>
    <w:p w:rsidR="00A32035" w:rsidRPr="00694D44" w:rsidRDefault="00A32035" w:rsidP="00694D44">
      <w:pPr>
        <w:pStyle w:val="Level1"/>
        <w:spacing w:before="0" w:after="160" w:line="276" w:lineRule="auto"/>
        <w:rPr>
          <w:b/>
        </w:rPr>
      </w:pPr>
      <w:r w:rsidRPr="00694D44">
        <w:rPr>
          <w:b/>
        </w:rPr>
        <w:t>When does the data breach need to be notified?</w:t>
      </w:r>
    </w:p>
    <w:p w:rsidR="00DF64E0" w:rsidRPr="00694D44" w:rsidRDefault="00DF64E0" w:rsidP="00694D44">
      <w:pPr>
        <w:pStyle w:val="Level2"/>
        <w:spacing w:before="0" w:after="160" w:line="276" w:lineRule="auto"/>
        <w:rPr>
          <w:b/>
        </w:rPr>
      </w:pPr>
      <w:r w:rsidRPr="00694D44">
        <w:rPr>
          <w:b/>
        </w:rPr>
        <w:t>Supervisory Authority</w:t>
      </w:r>
    </w:p>
    <w:p w:rsidR="00A32035" w:rsidRPr="00694D44" w:rsidRDefault="00A32035" w:rsidP="00694D44">
      <w:pPr>
        <w:pStyle w:val="Level1"/>
        <w:numPr>
          <w:ilvl w:val="0"/>
          <w:numId w:val="0"/>
        </w:numPr>
        <w:spacing w:before="0" w:after="160" w:line="276" w:lineRule="auto"/>
      </w:pPr>
      <w:r w:rsidRPr="00694D44">
        <w:t xml:space="preserve">A data controller must notify a data breach to a supervisory authority </w:t>
      </w:r>
      <w:r w:rsidR="009A34AF" w:rsidRPr="00694D44">
        <w:t>promptly, and</w:t>
      </w:r>
      <w:r w:rsidRPr="00694D44">
        <w:t xml:space="preserve"> where feasible, not later than 72 hours after having become aware of the breach. According to WP29, a controller is deemed to become aware of a </w:t>
      </w:r>
      <w:r w:rsidRPr="00694D44">
        <w:rPr>
          <w:bCs/>
          <w:color w:val="252525"/>
        </w:rPr>
        <w:t>data</w:t>
      </w:r>
      <w:r w:rsidRPr="00694D44">
        <w:t> </w:t>
      </w:r>
      <w:r w:rsidRPr="00694D44">
        <w:rPr>
          <w:bCs/>
          <w:color w:val="252525"/>
        </w:rPr>
        <w:t>breach</w:t>
      </w:r>
      <w:r w:rsidRPr="00694D44">
        <w:t> when the controller has "</w:t>
      </w:r>
      <w:r w:rsidRPr="00694D44">
        <w:rPr>
          <w:i/>
        </w:rPr>
        <w:t>a reasonable degree of certainty</w:t>
      </w:r>
      <w:r w:rsidRPr="00694D44">
        <w:t>" that the incident affects personal </w:t>
      </w:r>
      <w:r w:rsidRPr="00694D44">
        <w:rPr>
          <w:bCs/>
          <w:color w:val="252525"/>
        </w:rPr>
        <w:t>data</w:t>
      </w:r>
      <w:r w:rsidRPr="00694D44">
        <w:t>.</w:t>
      </w:r>
    </w:p>
    <w:p w:rsidR="00530A01" w:rsidRPr="00694D44" w:rsidRDefault="00A32035" w:rsidP="00694D44">
      <w:pPr>
        <w:pStyle w:val="Level2"/>
        <w:numPr>
          <w:ilvl w:val="0"/>
          <w:numId w:val="0"/>
        </w:numPr>
        <w:spacing w:before="0" w:after="160" w:line="276" w:lineRule="auto"/>
        <w:rPr>
          <w:b/>
          <w:i/>
        </w:rPr>
      </w:pPr>
      <w:r w:rsidRPr="00694D44">
        <w:t>For example, the 72 hour countdown will start as soon as you realise an unencrypted CD</w:t>
      </w:r>
      <w:r w:rsidR="00530A01" w:rsidRPr="00694D44">
        <w:t xml:space="preserve"> or other removal storage </w:t>
      </w:r>
      <w:r w:rsidR="00355D10" w:rsidRPr="00694D44">
        <w:t>device</w:t>
      </w:r>
      <w:r w:rsidRPr="00694D44">
        <w:t xml:space="preserve"> wit</w:t>
      </w:r>
      <w:r w:rsidR="009A56BD" w:rsidRPr="00694D44">
        <w:t>h personal data has been stolen</w:t>
      </w:r>
      <w:r w:rsidRPr="00694D44">
        <w:t xml:space="preserve">. Even though you may not understand </w:t>
      </w:r>
      <w:r w:rsidR="00646768" w:rsidRPr="00694D44">
        <w:t xml:space="preserve">how the breach </w:t>
      </w:r>
      <w:r w:rsidRPr="00694D44">
        <w:t xml:space="preserve">has taken place, you will still have a </w:t>
      </w:r>
      <w:r w:rsidR="009A34AF" w:rsidRPr="00694D44">
        <w:rPr>
          <w:i/>
        </w:rPr>
        <w:t>‘</w:t>
      </w:r>
      <w:r w:rsidRPr="00694D44">
        <w:rPr>
          <w:i/>
        </w:rPr>
        <w:t>reasonable degree of certainty</w:t>
      </w:r>
      <w:r w:rsidR="009A34AF" w:rsidRPr="00694D44">
        <w:t>’</w:t>
      </w:r>
      <w:r w:rsidRPr="00694D44">
        <w:t xml:space="preserve"> that it has taken place.  On the other hand, where you need to gather some evidence to establish </w:t>
      </w:r>
      <w:r w:rsidRPr="00694D44">
        <w:rPr>
          <w:i/>
        </w:rPr>
        <w:t>'with a reasonable degree of certainty</w:t>
      </w:r>
      <w:r w:rsidRPr="00694D44">
        <w:t xml:space="preserve">' that the suspected data breach has occurred, WP29  recognises that you may need a "short period of time" to perform an investigation before the </w:t>
      </w:r>
      <w:r w:rsidR="009A34AF" w:rsidRPr="00694D44">
        <w:t>clock</w:t>
      </w:r>
      <w:r w:rsidRPr="00694D44">
        <w:t xml:space="preserve"> starts. Although there is not a set deadline for this preliminary investigation and assessment, actions to investigate should be carried out as soon as </w:t>
      </w:r>
      <w:r w:rsidR="00530A01" w:rsidRPr="00694D44">
        <w:t>you find out about a suspected breach. If you</w:t>
      </w:r>
      <w:r w:rsidRPr="00694D44">
        <w:t xml:space="preserve"> fail to </w:t>
      </w:r>
      <w:r w:rsidR="00530A01" w:rsidRPr="00694D44">
        <w:t>carry out any</w:t>
      </w:r>
      <w:r w:rsidRPr="00694D44">
        <w:t xml:space="preserve"> preliminary investigation (</w:t>
      </w:r>
      <w:r w:rsidR="009A34AF" w:rsidRPr="00694D44">
        <w:t xml:space="preserve">e.g. </w:t>
      </w:r>
      <w:r w:rsidRPr="00694D44">
        <w:t>by ignoring an alert or suspicion that a brea</w:t>
      </w:r>
      <w:r w:rsidR="009A34AF" w:rsidRPr="00694D44">
        <w:t>ch may have occurred) or</w:t>
      </w:r>
      <w:r w:rsidRPr="00694D44">
        <w:t xml:space="preserve"> </w:t>
      </w:r>
      <w:r w:rsidR="009A34AF" w:rsidRPr="00694D44">
        <w:t>you don’t carry out an investigation promptly</w:t>
      </w:r>
      <w:r w:rsidRPr="00694D44">
        <w:t xml:space="preserve">, </w:t>
      </w:r>
      <w:r w:rsidR="00530A01" w:rsidRPr="00694D44">
        <w:t>you may</w:t>
      </w:r>
      <w:r w:rsidRPr="00694D44">
        <w:t xml:space="preserve"> be held accountable for a breach </w:t>
      </w:r>
      <w:r w:rsidR="00530A01" w:rsidRPr="00694D44">
        <w:t>of your obligations under Article 32 GDPR</w:t>
      </w:r>
      <w:r w:rsidRPr="00694D44">
        <w:t xml:space="preserve"> </w:t>
      </w:r>
      <w:r w:rsidRPr="00694D44">
        <w:rPr>
          <w:b/>
          <w:i/>
        </w:rPr>
        <w:t>(WP29 Guidelines).</w:t>
      </w:r>
      <w:r w:rsidRPr="00694D44">
        <w:t xml:space="preserve"> </w:t>
      </w:r>
    </w:p>
    <w:p w:rsidR="003636F5" w:rsidRPr="00694D44" w:rsidRDefault="00A32035" w:rsidP="00694D44">
      <w:pPr>
        <w:pStyle w:val="Level2"/>
        <w:numPr>
          <w:ilvl w:val="0"/>
          <w:numId w:val="0"/>
        </w:numPr>
        <w:spacing w:before="0" w:after="160" w:line="276" w:lineRule="auto"/>
      </w:pPr>
      <w:r w:rsidRPr="00694D44">
        <w:t xml:space="preserve">It is not clear </w:t>
      </w:r>
      <w:r w:rsidR="00530A01" w:rsidRPr="00694D44">
        <w:t>from the WP29 guidance whether you should</w:t>
      </w:r>
      <w:r w:rsidR="00A1133A" w:rsidRPr="00694D44">
        <w:t xml:space="preserve"> still</w:t>
      </w:r>
      <w:r w:rsidR="00530A01" w:rsidRPr="00694D44">
        <w:t xml:space="preserve"> notify if you have</w:t>
      </w:r>
      <w:r w:rsidRPr="00694D44">
        <w:t xml:space="preserve"> reasonable certainty that a breach has taken place, but little information on the</w:t>
      </w:r>
      <w:r w:rsidR="00530A01" w:rsidRPr="00694D44">
        <w:t xml:space="preserve"> risk associated with the breach</w:t>
      </w:r>
      <w:r w:rsidR="00A1133A" w:rsidRPr="00694D44">
        <w:t>.  However,</w:t>
      </w:r>
      <w:r w:rsidR="00530A01" w:rsidRPr="00694D44">
        <w:t xml:space="preserve"> it</w:t>
      </w:r>
      <w:r w:rsidRPr="00694D44">
        <w:t xml:space="preserve"> </w:t>
      </w:r>
      <w:r w:rsidR="00530A01" w:rsidRPr="00694D44">
        <w:t>is clear</w:t>
      </w:r>
      <w:r w:rsidRPr="00694D44">
        <w:t xml:space="preserve"> that </w:t>
      </w:r>
      <w:r w:rsidR="00A1133A" w:rsidRPr="00694D44">
        <w:t>where you are in doubt</w:t>
      </w:r>
      <w:r w:rsidRPr="00694D44">
        <w:t xml:space="preserve">, </w:t>
      </w:r>
      <w:r w:rsidR="00A1133A" w:rsidRPr="00694D44">
        <w:t>you should still make an interim notification</w:t>
      </w:r>
      <w:r w:rsidRPr="00694D44">
        <w:t xml:space="preserve"> in such circumstances until more is known.</w:t>
      </w:r>
      <w:r w:rsidR="00530A01" w:rsidRPr="00694D44">
        <w:t xml:space="preserve"> There </w:t>
      </w:r>
      <w:r w:rsidRPr="00694D44">
        <w:t xml:space="preserve">will be no penalty for making a notification which ultimately </w:t>
      </w:r>
      <w:r w:rsidR="00530A01" w:rsidRPr="00694D44">
        <w:t xml:space="preserve">turns out </w:t>
      </w:r>
      <w:r w:rsidR="00530A01" w:rsidRPr="00694D44">
        <w:rPr>
          <w:i/>
        </w:rPr>
        <w:t>not</w:t>
      </w:r>
      <w:r w:rsidR="00530A01" w:rsidRPr="00694D44">
        <w:t xml:space="preserve"> to be a breach</w:t>
      </w:r>
      <w:r w:rsidR="00A1133A" w:rsidRPr="00694D44">
        <w:t>,</w:t>
      </w:r>
      <w:r w:rsidR="00530A01" w:rsidRPr="00694D44">
        <w:t xml:space="preserve"> but please be aware that notifying</w:t>
      </w:r>
      <w:r w:rsidRPr="00694D44">
        <w:t xml:space="preserve"> </w:t>
      </w:r>
      <w:r w:rsidR="00530A01" w:rsidRPr="00694D44">
        <w:t>the ICO or such other regulator about a security incident</w:t>
      </w:r>
      <w:r w:rsidRPr="00694D44">
        <w:t xml:space="preserve"> does run the risk of investigation into the adequacy of security measures, even if it turns out that no harm has been done on that particular occasion.</w:t>
      </w:r>
    </w:p>
    <w:p w:rsidR="00DF64E0" w:rsidRPr="00694D44" w:rsidRDefault="00DF64E0" w:rsidP="00694D44">
      <w:pPr>
        <w:pStyle w:val="Level2"/>
        <w:spacing w:before="0" w:after="160" w:line="276" w:lineRule="auto"/>
        <w:rPr>
          <w:b/>
        </w:rPr>
      </w:pPr>
      <w:r w:rsidRPr="00694D44">
        <w:rPr>
          <w:b/>
        </w:rPr>
        <w:t>Individuals</w:t>
      </w:r>
    </w:p>
    <w:p w:rsidR="00DF64E0" w:rsidRPr="00694D44" w:rsidRDefault="00DF64E0" w:rsidP="00694D44">
      <w:pPr>
        <w:pStyle w:val="Level1"/>
        <w:numPr>
          <w:ilvl w:val="0"/>
          <w:numId w:val="0"/>
        </w:numPr>
        <w:spacing w:before="0" w:after="160" w:line="276" w:lineRule="auto"/>
      </w:pPr>
      <w:r w:rsidRPr="00694D44">
        <w:t xml:space="preserve">There is no set deadline for notifications to individuals, but this must be done without undue delay and will ultimately depend on the circumstances. For example, </w:t>
      </w:r>
      <w:r w:rsidR="00924DFE" w:rsidRPr="00694D44">
        <w:t xml:space="preserve">where financial information has been lost, </w:t>
      </w:r>
      <w:r w:rsidRPr="00694D44">
        <w:t xml:space="preserve">the need to mitigate an immediate risk of damage would call for immediate communication </w:t>
      </w:r>
      <w:r w:rsidR="00924DFE" w:rsidRPr="00694D44">
        <w:t>to those individuals affected to give them the opportunity to change their passwords, security details etc.</w:t>
      </w:r>
    </w:p>
    <w:p w:rsidR="000C61D8" w:rsidRPr="00694D44" w:rsidRDefault="00DF64E0" w:rsidP="00694D44">
      <w:pPr>
        <w:pStyle w:val="Level1"/>
        <w:numPr>
          <w:ilvl w:val="0"/>
          <w:numId w:val="0"/>
        </w:numPr>
        <w:spacing w:before="0" w:after="160" w:line="276" w:lineRule="auto"/>
      </w:pPr>
      <w:r w:rsidRPr="00694D44">
        <w:t xml:space="preserve">WP29 suggests that normally data subjects will be notified after the supervisory authority, and following advice from such authority, but recognises that this will not always be the case, and importantly, that </w:t>
      </w:r>
      <w:r w:rsidRPr="00694D44">
        <w:lastRenderedPageBreak/>
        <w:t xml:space="preserve">notifying the authority will not serve as a justification for failure to communicate to data subjects. In other words, </w:t>
      </w:r>
      <w:r w:rsidR="000C61D8" w:rsidRPr="00694D44">
        <w:t>don’t</w:t>
      </w:r>
      <w:r w:rsidRPr="00694D44">
        <w:t xml:space="preserve"> wait for advice from </w:t>
      </w:r>
      <w:r w:rsidR="000C61D8" w:rsidRPr="00694D44">
        <w:t>ICO</w:t>
      </w:r>
      <w:r w:rsidRPr="00694D44">
        <w:t xml:space="preserve"> if </w:t>
      </w:r>
      <w:r w:rsidR="000C61D8" w:rsidRPr="00694D44">
        <w:t>the individuals affected</w:t>
      </w:r>
      <w:r w:rsidRPr="00694D44">
        <w:t xml:space="preserve"> are plainly at risk in the meantime. </w:t>
      </w:r>
    </w:p>
    <w:p w:rsidR="003636F5" w:rsidRPr="00694D44" w:rsidRDefault="003636F5" w:rsidP="00694D44">
      <w:pPr>
        <w:pStyle w:val="Level1"/>
        <w:spacing w:before="0" w:after="160" w:line="276" w:lineRule="auto"/>
        <w:rPr>
          <w:b/>
        </w:rPr>
      </w:pPr>
      <w:r w:rsidRPr="00694D44">
        <w:rPr>
          <w:b/>
        </w:rPr>
        <w:t>What if you don't have all of the information available yet?</w:t>
      </w:r>
    </w:p>
    <w:p w:rsidR="003636F5" w:rsidRPr="00694D44" w:rsidRDefault="003636F5" w:rsidP="00694D44">
      <w:pPr>
        <w:pStyle w:val="Level1"/>
        <w:numPr>
          <w:ilvl w:val="0"/>
          <w:numId w:val="0"/>
        </w:numPr>
        <w:spacing w:before="0" w:after="160" w:line="276" w:lineRule="auto"/>
      </w:pPr>
      <w:r w:rsidRPr="00694D44">
        <w:t xml:space="preserve">If you don’t have all the necessary information within 72 hours of when you become aware of the data </w:t>
      </w:r>
      <w:r w:rsidRPr="00694D44">
        <w:rPr>
          <w:rStyle w:val="cosearchterm"/>
          <w:bCs/>
          <w:color w:val="252525"/>
        </w:rPr>
        <w:t>breach</w:t>
      </w:r>
      <w:r w:rsidRPr="00694D44">
        <w:t xml:space="preserve">, it is </w:t>
      </w:r>
      <w:r w:rsidR="00D0674B" w:rsidRPr="00694D44">
        <w:t xml:space="preserve">still </w:t>
      </w:r>
      <w:r w:rsidRPr="00694D44">
        <w:t xml:space="preserve">possible to provide this information in phases, provided further information is provided to the ICO </w:t>
      </w:r>
      <w:r w:rsidR="00D0674B" w:rsidRPr="00694D44">
        <w:t>promptly</w:t>
      </w:r>
      <w:r w:rsidRPr="00694D44">
        <w:t>. The presence of this o</w:t>
      </w:r>
      <w:r w:rsidR="001024B4" w:rsidRPr="00694D44">
        <w:t xml:space="preserve">ption to notify in stages will </w:t>
      </w:r>
      <w:r w:rsidRPr="00694D44">
        <w:t xml:space="preserve">make it difficult </w:t>
      </w:r>
      <w:r w:rsidR="00C65A23" w:rsidRPr="00694D44">
        <w:t xml:space="preserve">for </w:t>
      </w:r>
      <w:r w:rsidR="001024B4" w:rsidRPr="00694D44">
        <w:t>any organisation</w:t>
      </w:r>
      <w:r w:rsidRPr="00694D44">
        <w:t xml:space="preserve"> to argue that it is not feasible to make any notification within 72 hours. </w:t>
      </w:r>
    </w:p>
    <w:p w:rsidR="00890477" w:rsidRPr="00694D44" w:rsidRDefault="00587F00" w:rsidP="00694D44">
      <w:pPr>
        <w:pStyle w:val="Level1"/>
        <w:spacing w:before="0" w:after="160" w:line="276" w:lineRule="auto"/>
        <w:rPr>
          <w:b/>
        </w:rPr>
      </w:pPr>
      <w:r w:rsidRPr="00694D44">
        <w:rPr>
          <w:b/>
        </w:rPr>
        <w:t xml:space="preserve">What role do </w:t>
      </w:r>
      <w:r w:rsidR="00651FF4" w:rsidRPr="00694D44">
        <w:rPr>
          <w:b/>
        </w:rPr>
        <w:t>y</w:t>
      </w:r>
      <w:r w:rsidRPr="00694D44">
        <w:rPr>
          <w:b/>
        </w:rPr>
        <w:t>our data processors have to play</w:t>
      </w:r>
      <w:r w:rsidR="00890477" w:rsidRPr="00694D44">
        <w:rPr>
          <w:b/>
        </w:rPr>
        <w:t>?</w:t>
      </w:r>
    </w:p>
    <w:p w:rsidR="00587F00" w:rsidRPr="00694D44" w:rsidRDefault="00890477" w:rsidP="00694D44">
      <w:pPr>
        <w:pStyle w:val="Level1"/>
        <w:numPr>
          <w:ilvl w:val="0"/>
          <w:numId w:val="0"/>
        </w:numPr>
        <w:spacing w:before="0" w:after="160" w:line="276" w:lineRule="auto"/>
      </w:pPr>
      <w:r w:rsidRPr="00694D44">
        <w:t xml:space="preserve">The </w:t>
      </w:r>
      <w:r w:rsidR="00587F00" w:rsidRPr="00694D44">
        <w:t xml:space="preserve">data </w:t>
      </w:r>
      <w:r w:rsidRPr="00694D44">
        <w:t>controller is solely responsible for making </w:t>
      </w:r>
      <w:r w:rsidRPr="00694D44">
        <w:rPr>
          <w:bCs/>
        </w:rPr>
        <w:t>data</w:t>
      </w:r>
      <w:r w:rsidRPr="00694D44">
        <w:t> </w:t>
      </w:r>
      <w:r w:rsidRPr="00694D44">
        <w:rPr>
          <w:bCs/>
        </w:rPr>
        <w:t>breach</w:t>
      </w:r>
      <w:r w:rsidRPr="00694D44">
        <w:t> notifications. However, when a </w:t>
      </w:r>
      <w:r w:rsidRPr="00694D44">
        <w:rPr>
          <w:bCs/>
        </w:rPr>
        <w:t>data</w:t>
      </w:r>
      <w:r w:rsidRPr="00694D44">
        <w:t> </w:t>
      </w:r>
      <w:r w:rsidRPr="00694D44">
        <w:rPr>
          <w:bCs/>
        </w:rPr>
        <w:t>breach</w:t>
      </w:r>
      <w:r w:rsidRPr="00694D44">
        <w:t> has occurred in relation to </w:t>
      </w:r>
      <w:r w:rsidRPr="00694D44">
        <w:rPr>
          <w:bCs/>
        </w:rPr>
        <w:t>data</w:t>
      </w:r>
      <w:r w:rsidRPr="00694D44">
        <w:t> processed by a </w:t>
      </w:r>
      <w:r w:rsidRPr="00694D44">
        <w:rPr>
          <w:bCs/>
        </w:rPr>
        <w:t>data</w:t>
      </w:r>
      <w:r w:rsidRPr="00694D44">
        <w:t> processor, the processor has an obligation to report the </w:t>
      </w:r>
      <w:r w:rsidRPr="00694D44">
        <w:rPr>
          <w:bCs/>
        </w:rPr>
        <w:t>breach</w:t>
      </w:r>
      <w:r w:rsidRPr="00694D44">
        <w:t xml:space="preserve"> to the controller without undue delay after becoming aware of it </w:t>
      </w:r>
      <w:r w:rsidRPr="00694D44">
        <w:rPr>
          <w:i/>
        </w:rPr>
        <w:t>(</w:t>
      </w:r>
      <w:r w:rsidRPr="00694D44">
        <w:rPr>
          <w:i/>
          <w:iCs/>
        </w:rPr>
        <w:t>Article 33(2), </w:t>
      </w:r>
      <w:r w:rsidRPr="00694D44">
        <w:rPr>
          <w:bCs/>
          <w:i/>
          <w:iCs/>
        </w:rPr>
        <w:t>GDPR</w:t>
      </w:r>
      <w:r w:rsidRPr="00694D44">
        <w:rPr>
          <w:i/>
        </w:rPr>
        <w:t>).</w:t>
      </w:r>
      <w:r w:rsidRPr="00694D44">
        <w:rPr>
          <w:b/>
          <w:i/>
        </w:rPr>
        <w:t xml:space="preserve"> </w:t>
      </w:r>
      <w:r w:rsidR="00587F00" w:rsidRPr="00694D44">
        <w:rPr>
          <w:b/>
          <w:i/>
        </w:rPr>
        <w:t>(Please see template data processing agreements, which address how the processor should notify a data breach to the controller).</w:t>
      </w:r>
      <w:r w:rsidR="00587F00" w:rsidRPr="00694D44">
        <w:t xml:space="preserve"> </w:t>
      </w:r>
      <w:bookmarkStart w:id="1" w:name="_GoBack"/>
      <w:bookmarkEnd w:id="1"/>
    </w:p>
    <w:p w:rsidR="00587F00" w:rsidRPr="00694D44" w:rsidRDefault="00890477" w:rsidP="00694D44">
      <w:pPr>
        <w:pStyle w:val="Level1"/>
        <w:numPr>
          <w:ilvl w:val="0"/>
          <w:numId w:val="0"/>
        </w:numPr>
        <w:spacing w:before="0" w:after="160" w:line="276" w:lineRule="auto"/>
      </w:pPr>
      <w:r w:rsidRPr="00694D44">
        <w:t xml:space="preserve">WP29 advises that </w:t>
      </w:r>
      <w:r w:rsidR="00587F00" w:rsidRPr="00694D44">
        <w:t xml:space="preserve">you, as a data controller, will be </w:t>
      </w:r>
      <w:r w:rsidRPr="00694D44">
        <w:t>deemed to become aware of a processor's </w:t>
      </w:r>
      <w:r w:rsidRPr="00694D44">
        <w:rPr>
          <w:bCs/>
          <w:color w:val="252525"/>
        </w:rPr>
        <w:t>breach</w:t>
      </w:r>
      <w:r w:rsidR="00587F00" w:rsidRPr="00694D44">
        <w:rPr>
          <w:bCs/>
          <w:color w:val="252525"/>
        </w:rPr>
        <w:t xml:space="preserve"> </w:t>
      </w:r>
      <w:r w:rsidRPr="00694D44">
        <w:t xml:space="preserve">when </w:t>
      </w:r>
      <w:r w:rsidR="00587F00" w:rsidRPr="00694D44">
        <w:t>it</w:t>
      </w:r>
      <w:r w:rsidRPr="00694D44">
        <w:t xml:space="preserve"> communicates the </w:t>
      </w:r>
      <w:r w:rsidRPr="00694D44">
        <w:rPr>
          <w:bCs/>
          <w:color w:val="252525"/>
        </w:rPr>
        <w:t>breach</w:t>
      </w:r>
      <w:r w:rsidRPr="00694D44">
        <w:t xml:space="preserve"> to </w:t>
      </w:r>
      <w:r w:rsidR="00587F00" w:rsidRPr="00694D44">
        <w:t>you.</w:t>
      </w:r>
      <w:r w:rsidRPr="00694D44">
        <w:t xml:space="preserve"> In practice</w:t>
      </w:r>
      <w:r w:rsidR="00587F00" w:rsidRPr="00694D44">
        <w:t>,</w:t>
      </w:r>
      <w:r w:rsidRPr="00694D44">
        <w:t xml:space="preserve"> therefore</w:t>
      </w:r>
      <w:r w:rsidR="00587F00" w:rsidRPr="00694D44">
        <w:t>,</w:t>
      </w:r>
      <w:r w:rsidRPr="00694D44">
        <w:t xml:space="preserve"> there is likely to be a permissible time lag between the processer's first awareness, and the time when</w:t>
      </w:r>
      <w:r w:rsidR="00587F00" w:rsidRPr="00694D44">
        <w:t xml:space="preserve"> you</w:t>
      </w:r>
      <w:r w:rsidRPr="00694D44">
        <w:t xml:space="preserve"> </w:t>
      </w:r>
      <w:r w:rsidR="00587F00" w:rsidRPr="00694D44">
        <w:t>must notify the ICO, given that the</w:t>
      </w:r>
      <w:r w:rsidRPr="00694D44">
        <w:t xml:space="preserve"> processer may need to </w:t>
      </w:r>
      <w:r w:rsidR="00587F00" w:rsidRPr="00694D44">
        <w:t>carry out some</w:t>
      </w:r>
      <w:r w:rsidRPr="00694D44">
        <w:t xml:space="preserve"> investigations to establish with reasonable certainty that the </w:t>
      </w:r>
      <w:r w:rsidRPr="00694D44">
        <w:rPr>
          <w:bCs/>
          <w:color w:val="252525"/>
        </w:rPr>
        <w:t>breach</w:t>
      </w:r>
      <w:r w:rsidRPr="00694D44">
        <w:t> has occurred and which </w:t>
      </w:r>
      <w:r w:rsidRPr="00694D44">
        <w:rPr>
          <w:bCs/>
          <w:color w:val="252525"/>
        </w:rPr>
        <w:t>data</w:t>
      </w:r>
      <w:r w:rsidR="00587F00" w:rsidRPr="00694D44">
        <w:t> controller(s) it effects and you as a data controller may need to perform your own investigation.</w:t>
      </w:r>
      <w:r w:rsidRPr="00694D44">
        <w:t xml:space="preserve"> </w:t>
      </w:r>
    </w:p>
    <w:p w:rsidR="00651FF4" w:rsidRPr="00694D44" w:rsidRDefault="00651FF4" w:rsidP="00694D44">
      <w:pPr>
        <w:pStyle w:val="Level1"/>
        <w:spacing w:before="0" w:after="160" w:line="276" w:lineRule="auto"/>
        <w:rPr>
          <w:b/>
        </w:rPr>
      </w:pPr>
      <w:r w:rsidRPr="00694D44">
        <w:rPr>
          <w:b/>
        </w:rPr>
        <w:t>What if you fail to report a breach?</w:t>
      </w:r>
    </w:p>
    <w:p w:rsidR="00651FF4" w:rsidRPr="00694D44" w:rsidRDefault="008C7876" w:rsidP="00694D44">
      <w:pPr>
        <w:pStyle w:val="Level1"/>
        <w:numPr>
          <w:ilvl w:val="0"/>
          <w:numId w:val="0"/>
        </w:numPr>
        <w:spacing w:before="0" w:after="160" w:line="276" w:lineRule="auto"/>
      </w:pPr>
      <w:r w:rsidRPr="00694D44">
        <w:t xml:space="preserve">Failing to notify a </w:t>
      </w:r>
      <w:r w:rsidR="00C65A23" w:rsidRPr="00694D44">
        <w:t>breach when required to do so could</w:t>
      </w:r>
      <w:r w:rsidRPr="00694D44">
        <w:t xml:space="preserve"> result in administrative fines of up to EUR10 million or 2% of annual global turnover.</w:t>
      </w:r>
      <w:r w:rsidR="00327DA2" w:rsidRPr="00694D44">
        <w:t xml:space="preserve"> </w:t>
      </w:r>
      <w:r w:rsidRPr="00694D44">
        <w:t xml:space="preserve">However, </w:t>
      </w:r>
      <w:r w:rsidR="00327DA2" w:rsidRPr="00694D44">
        <w:t>if you fail to take appropriate security measures against data breaches in accordance your obligations under the Accountability principle (Article 5,</w:t>
      </w:r>
      <w:r w:rsidRPr="00694D44">
        <w:t xml:space="preserve"> GDPR</w:t>
      </w:r>
      <w:r w:rsidR="00327DA2" w:rsidRPr="00694D44">
        <w:t>) (</w:t>
      </w:r>
      <w:r w:rsidR="00327DA2" w:rsidRPr="00694D44">
        <w:rPr>
          <w:b/>
          <w:i/>
        </w:rPr>
        <w:t>See Advice note on Accountability</w:t>
      </w:r>
      <w:r w:rsidR="00327DA2" w:rsidRPr="00694D44">
        <w:t xml:space="preserve">) </w:t>
      </w:r>
      <w:r w:rsidRPr="00694D44">
        <w:t xml:space="preserve"> </w:t>
      </w:r>
      <w:r w:rsidR="00327DA2" w:rsidRPr="00694D44">
        <w:t>you may be subject to fines</w:t>
      </w:r>
      <w:r w:rsidRPr="00694D44">
        <w:t xml:space="preserve"> up to </w:t>
      </w:r>
      <w:r w:rsidR="00327DA2" w:rsidRPr="00694D44">
        <w:t xml:space="preserve">the higher threshold of fines i.e. </w:t>
      </w:r>
      <w:r w:rsidRPr="00694D44">
        <w:t>EUR20 million or 4</w:t>
      </w:r>
      <w:r w:rsidR="00327DA2" w:rsidRPr="00694D44">
        <w:t xml:space="preserve">% of the annual global turnover. </w:t>
      </w:r>
      <w:r w:rsidRPr="00694D44">
        <w:t xml:space="preserve"> </w:t>
      </w:r>
      <w:r w:rsidR="00327DA2" w:rsidRPr="00694D44">
        <w:t>It</w:t>
      </w:r>
      <w:r w:rsidRPr="00694D44">
        <w:t xml:space="preserve"> is currently unclear which fine threshold applies for a violation of the information security</w:t>
      </w:r>
      <w:r w:rsidR="00327DA2" w:rsidRPr="00694D44">
        <w:t xml:space="preserve"> obligations under the GDPR, but it </w:t>
      </w:r>
      <w:r w:rsidRPr="00694D44">
        <w:t>is possible in some circumstances that failing to implement an appropriate data breach</w:t>
      </w:r>
      <w:r w:rsidR="00327DA2" w:rsidRPr="00694D44">
        <w:t xml:space="preserve"> response plan could trigger this</w:t>
      </w:r>
      <w:r w:rsidRPr="00694D44">
        <w:t xml:space="preserve"> higher threshold of fine.</w:t>
      </w:r>
    </w:p>
    <w:p w:rsidR="008329FE" w:rsidRPr="00694D44" w:rsidRDefault="008329FE" w:rsidP="00694D44">
      <w:pPr>
        <w:pStyle w:val="Level1"/>
        <w:spacing w:before="0" w:after="160" w:line="276" w:lineRule="auto"/>
        <w:rPr>
          <w:b/>
        </w:rPr>
      </w:pPr>
      <w:r w:rsidRPr="00694D44">
        <w:rPr>
          <w:b/>
        </w:rPr>
        <w:t xml:space="preserve">What </w:t>
      </w:r>
      <w:r w:rsidR="00C65A23" w:rsidRPr="00694D44">
        <w:rPr>
          <w:b/>
        </w:rPr>
        <w:t>should you</w:t>
      </w:r>
      <w:r w:rsidRPr="00694D44">
        <w:rPr>
          <w:b/>
        </w:rPr>
        <w:t xml:space="preserve"> be doing now?</w:t>
      </w:r>
    </w:p>
    <w:p w:rsidR="00DE24E2" w:rsidRPr="00694D44" w:rsidRDefault="00DE24E2" w:rsidP="00694D44">
      <w:pPr>
        <w:pStyle w:val="Level1"/>
        <w:numPr>
          <w:ilvl w:val="0"/>
          <w:numId w:val="0"/>
        </w:numPr>
        <w:spacing w:before="0" w:after="160" w:line="276" w:lineRule="auto"/>
      </w:pPr>
      <w:r w:rsidRPr="00694D44">
        <w:t>A personal </w:t>
      </w:r>
      <w:r w:rsidRPr="00694D44">
        <w:rPr>
          <w:rStyle w:val="cosearchterm"/>
          <w:bCs/>
          <w:color w:val="252525"/>
        </w:rPr>
        <w:t>data</w:t>
      </w:r>
      <w:r w:rsidRPr="00694D44">
        <w:t> </w:t>
      </w:r>
      <w:r w:rsidRPr="00694D44">
        <w:rPr>
          <w:rStyle w:val="cosearchterm"/>
          <w:bCs/>
          <w:color w:val="252525"/>
        </w:rPr>
        <w:t>breach</w:t>
      </w:r>
      <w:r w:rsidRPr="00694D44">
        <w:t xml:space="preserve"> is a situation when regulatory scrutiny will be applied to </w:t>
      </w:r>
      <w:r w:rsidR="00C65A23" w:rsidRPr="00694D44">
        <w:t>your</w:t>
      </w:r>
      <w:r w:rsidRPr="00694D44">
        <w:t xml:space="preserve"> security measures and compliance with Articles 5 and 32</w:t>
      </w:r>
      <w:r w:rsidR="00C65A23" w:rsidRPr="00694D44">
        <w:t xml:space="preserve"> GDPR. C</w:t>
      </w:r>
      <w:r w:rsidRPr="00694D44">
        <w:t>ould you</w:t>
      </w:r>
      <w:r w:rsidR="00C65A23" w:rsidRPr="00694D44">
        <w:t xml:space="preserve"> have put technical and organisations measures in place which would</w:t>
      </w:r>
      <w:r w:rsidRPr="00694D44">
        <w:t xml:space="preserve"> have prevented the personal data breach? Therefore, good preparation for </w:t>
      </w:r>
      <w:r w:rsidR="00C65A23" w:rsidRPr="00694D44">
        <w:t>data breach handling</w:t>
      </w:r>
      <w:r w:rsidRPr="00694D44">
        <w:t xml:space="preserve"> will allow </w:t>
      </w:r>
      <w:r w:rsidRPr="00694D44">
        <w:rPr>
          <w:rStyle w:val="cosearchterm"/>
          <w:bCs/>
          <w:color w:val="252525"/>
        </w:rPr>
        <w:t>you as a data controller</w:t>
      </w:r>
      <w:r w:rsidRPr="00694D44">
        <w:t xml:space="preserve"> to manage your risk better. The following will give you a good idea of the things to consider</w:t>
      </w:r>
      <w:r w:rsidR="00C65A23" w:rsidRPr="00694D44">
        <w:t xml:space="preserve"> now</w:t>
      </w:r>
      <w:r w:rsidRPr="00694D44">
        <w:t xml:space="preserve"> to</w:t>
      </w:r>
      <w:r w:rsidR="00C65A23" w:rsidRPr="00694D44">
        <w:t xml:space="preserve"> help you</w:t>
      </w:r>
      <w:r w:rsidRPr="00694D44">
        <w:t xml:space="preserve"> get ready to react to any breach: </w:t>
      </w:r>
    </w:p>
    <w:p w:rsidR="00DE24E2" w:rsidRPr="00694D44" w:rsidRDefault="00DE24E2" w:rsidP="00694D44">
      <w:pPr>
        <w:pStyle w:val="Level2"/>
        <w:spacing w:before="0" w:after="160" w:line="276" w:lineRule="auto"/>
      </w:pPr>
      <w:r w:rsidRPr="00694D44">
        <w:rPr>
          <w:b/>
          <w:i/>
        </w:rPr>
        <w:t>Know your data</w:t>
      </w:r>
      <w:r w:rsidRPr="00694D44">
        <w:t xml:space="preserve"> – map your data so you know </w:t>
      </w:r>
      <w:r w:rsidR="00C65A23" w:rsidRPr="00694D44">
        <w:t>what personal</w:t>
      </w:r>
      <w:r w:rsidRPr="00694D44">
        <w:t> </w:t>
      </w:r>
      <w:r w:rsidRPr="00694D44">
        <w:rPr>
          <w:rStyle w:val="cosearchterm"/>
          <w:bCs/>
          <w:color w:val="252525"/>
        </w:rPr>
        <w:t>data</w:t>
      </w:r>
      <w:r w:rsidRPr="00694D44">
        <w:t xml:space="preserve"> you are processing, </w:t>
      </w:r>
      <w:r w:rsidR="00C65A23" w:rsidRPr="00694D44">
        <w:t xml:space="preserve">what is used for, </w:t>
      </w:r>
      <w:r w:rsidRPr="00694D44">
        <w:t>what systems are used and where the </w:t>
      </w:r>
      <w:r w:rsidRPr="00694D44">
        <w:rPr>
          <w:rStyle w:val="cosearchterm"/>
          <w:bCs/>
          <w:color w:val="252525"/>
        </w:rPr>
        <w:t>data</w:t>
      </w:r>
      <w:r w:rsidRPr="00694D44">
        <w:t> is stored. Failure to quickly identify </w:t>
      </w:r>
      <w:r w:rsidRPr="00694D44">
        <w:rPr>
          <w:rStyle w:val="cosearchterm"/>
          <w:bCs/>
          <w:color w:val="252525"/>
        </w:rPr>
        <w:t>data</w:t>
      </w:r>
      <w:r w:rsidRPr="00694D44">
        <w:t> potentially affected by a </w:t>
      </w:r>
      <w:r w:rsidRPr="00694D44">
        <w:rPr>
          <w:rStyle w:val="cosearchterm"/>
          <w:bCs/>
          <w:color w:val="252525"/>
        </w:rPr>
        <w:t xml:space="preserve">breach </w:t>
      </w:r>
      <w:r w:rsidRPr="00694D44">
        <w:t>through ignorance of what is on your systems, is likely to be seen as a big negative in any assessment by the ICO</w:t>
      </w:r>
    </w:p>
    <w:p w:rsidR="00DE24E2" w:rsidRPr="00694D44" w:rsidRDefault="00DE24E2" w:rsidP="00694D44">
      <w:pPr>
        <w:pStyle w:val="Level2"/>
        <w:spacing w:before="0" w:after="160" w:line="276" w:lineRule="auto"/>
        <w:rPr>
          <w:b/>
          <w:i/>
        </w:rPr>
      </w:pPr>
      <w:r w:rsidRPr="00694D44">
        <w:rPr>
          <w:b/>
          <w:i/>
        </w:rPr>
        <w:t xml:space="preserve">Data breach management plan - </w:t>
      </w:r>
      <w:r w:rsidRPr="00694D44">
        <w:t>put together a comprehensive data breach management plan i.e. who is responsible</w:t>
      </w:r>
      <w:r w:rsidR="00EE500F" w:rsidRPr="00694D44">
        <w:t xml:space="preserve"> for</w:t>
      </w:r>
      <w:r w:rsidRPr="00694D44">
        <w:t xml:space="preserve"> </w:t>
      </w:r>
      <w:r w:rsidR="00C65A23" w:rsidRPr="00694D44">
        <w:t xml:space="preserve">the </w:t>
      </w:r>
      <w:r w:rsidRPr="00694D44">
        <w:t>overall management of</w:t>
      </w:r>
      <w:r w:rsidR="00C65A23" w:rsidRPr="00694D44">
        <w:t xml:space="preserve"> a</w:t>
      </w:r>
      <w:r w:rsidRPr="00694D44">
        <w:t> </w:t>
      </w:r>
      <w:r w:rsidRPr="00694D44">
        <w:rPr>
          <w:rStyle w:val="cosearchterm"/>
          <w:bCs/>
          <w:color w:val="252525"/>
        </w:rPr>
        <w:t>breach</w:t>
      </w:r>
      <w:r w:rsidR="00C65A23" w:rsidRPr="00694D44">
        <w:t> response</w:t>
      </w:r>
      <w:r w:rsidRPr="00694D44">
        <w:t>, detection, escalation, communications, investig</w:t>
      </w:r>
      <w:r w:rsidR="00813749" w:rsidRPr="00694D44">
        <w:t>ation, and recovery/remediation</w:t>
      </w:r>
    </w:p>
    <w:p w:rsidR="00DE24E2" w:rsidRPr="00694D44" w:rsidRDefault="00DE24E2" w:rsidP="00694D44">
      <w:pPr>
        <w:pStyle w:val="Level2"/>
        <w:spacing w:before="0" w:after="160" w:line="276" w:lineRule="auto"/>
      </w:pPr>
      <w:r w:rsidRPr="00694D44">
        <w:rPr>
          <w:b/>
          <w:i/>
        </w:rPr>
        <w:t>External advisors</w:t>
      </w:r>
      <w:r w:rsidRPr="00694D44">
        <w:t xml:space="preserve"> – </w:t>
      </w:r>
      <w:r w:rsidR="00C65A23" w:rsidRPr="00694D44">
        <w:t>consider whether there is</w:t>
      </w:r>
      <w:r w:rsidRPr="00694D44">
        <w:t xml:space="preserve"> scope for engaging a technical response/ forensic investigation provider to speed up the reaction to a data breach and access to the info</w:t>
      </w:r>
      <w:r w:rsidR="00813749" w:rsidRPr="00694D44">
        <w:t>rmation needed for notification</w:t>
      </w:r>
    </w:p>
    <w:p w:rsidR="00DE24E2" w:rsidRPr="00694D44" w:rsidRDefault="00DE24E2" w:rsidP="00694D44">
      <w:pPr>
        <w:pStyle w:val="Level2"/>
        <w:spacing w:before="0" w:after="160" w:line="276" w:lineRule="auto"/>
      </w:pPr>
      <w:r w:rsidRPr="00694D44">
        <w:rPr>
          <w:b/>
          <w:i/>
        </w:rPr>
        <w:t>Training</w:t>
      </w:r>
      <w:r w:rsidR="00630311" w:rsidRPr="00694D44">
        <w:t>- training is essential to support your relevant policies and procedures to ensure that all employees can identify any security breaches and escalate them to appropriate individuals and teams responsible for data breach</w:t>
      </w:r>
      <w:r w:rsidR="00C65A23" w:rsidRPr="00694D44">
        <w:t> management</w:t>
      </w:r>
    </w:p>
    <w:p w:rsidR="00DE24E2" w:rsidRPr="00694D44" w:rsidRDefault="00DE24E2" w:rsidP="00694D44">
      <w:pPr>
        <w:pStyle w:val="Level2"/>
        <w:spacing w:before="0" w:after="160" w:line="276" w:lineRule="auto"/>
      </w:pPr>
      <w:r w:rsidRPr="00694D44">
        <w:rPr>
          <w:b/>
          <w:i/>
        </w:rPr>
        <w:lastRenderedPageBreak/>
        <w:t>Testing</w:t>
      </w:r>
      <w:r w:rsidR="00630311" w:rsidRPr="00694D44">
        <w:rPr>
          <w:b/>
          <w:i/>
        </w:rPr>
        <w:t>-</w:t>
      </w:r>
      <w:r w:rsidR="00630311" w:rsidRPr="00694D44">
        <w:t xml:space="preserve"> test your systems and procedures to identify and remedy any vulnerabilities</w:t>
      </w:r>
    </w:p>
    <w:p w:rsidR="008329FE" w:rsidRPr="00694D44" w:rsidRDefault="00DE24E2" w:rsidP="00694D44">
      <w:pPr>
        <w:pStyle w:val="Level2"/>
        <w:spacing w:before="0" w:after="160" w:line="276" w:lineRule="auto"/>
      </w:pPr>
      <w:r w:rsidRPr="00694D44">
        <w:rPr>
          <w:b/>
          <w:i/>
        </w:rPr>
        <w:t>Insurance</w:t>
      </w:r>
      <w:r w:rsidR="00C65A23" w:rsidRPr="00694D44">
        <w:rPr>
          <w:b/>
          <w:i/>
        </w:rPr>
        <w:t>-</w:t>
      </w:r>
      <w:r w:rsidR="00C65A23" w:rsidRPr="00694D44">
        <w:t xml:space="preserve"> consider your insurance coverage for potential personal data breaches, particularly in light of the potential fines under GDPR</w:t>
      </w:r>
      <w:r w:rsidR="00C00494" w:rsidRPr="00694D44">
        <w:t xml:space="preserve"> although in the UK it is generally not possible to insure against a fine, only the costs of dealing with an incident and the costs of</w:t>
      </w:r>
      <w:r w:rsidR="00813749" w:rsidRPr="00694D44">
        <w:t xml:space="preserve"> any proceedings or appeal</w:t>
      </w:r>
    </w:p>
    <w:p w:rsidR="00813749" w:rsidRPr="00694D44" w:rsidRDefault="00813749" w:rsidP="00694D44">
      <w:pPr>
        <w:pStyle w:val="Level2"/>
        <w:spacing w:before="0" w:after="160" w:line="276" w:lineRule="auto"/>
      </w:pPr>
      <w:r w:rsidRPr="00694D44">
        <w:rPr>
          <w:b/>
          <w:i/>
        </w:rPr>
        <w:t>Monitoring –</w:t>
      </w:r>
      <w:r w:rsidRPr="00694D44">
        <w:t xml:space="preserve"> establish a routine of regular system testing, updated and refresher training for current and new staff/volunteers and a regular review of any identified breaches to see whether they highlight the need for procedural changes</w:t>
      </w:r>
    </w:p>
    <w:p w:rsidR="00890477" w:rsidRPr="00694D44" w:rsidRDefault="00890477" w:rsidP="00694D44">
      <w:pPr>
        <w:pStyle w:val="Level1"/>
        <w:numPr>
          <w:ilvl w:val="0"/>
          <w:numId w:val="0"/>
        </w:numPr>
        <w:spacing w:before="0" w:after="160" w:line="276" w:lineRule="auto"/>
        <w:ind w:left="850" w:hanging="850"/>
        <w:rPr>
          <w:b/>
        </w:rPr>
      </w:pPr>
    </w:p>
    <w:p w:rsidR="003636F5" w:rsidRPr="00694D44" w:rsidRDefault="003636F5" w:rsidP="00694D44">
      <w:pPr>
        <w:pStyle w:val="Level2"/>
        <w:numPr>
          <w:ilvl w:val="0"/>
          <w:numId w:val="0"/>
        </w:numPr>
        <w:spacing w:before="0" w:after="160" w:line="276" w:lineRule="auto"/>
      </w:pPr>
    </w:p>
    <w:p w:rsidR="00187199" w:rsidRPr="00694D44" w:rsidRDefault="00187199" w:rsidP="00694D44">
      <w:pPr>
        <w:pStyle w:val="Level1"/>
        <w:numPr>
          <w:ilvl w:val="0"/>
          <w:numId w:val="0"/>
        </w:numPr>
        <w:spacing w:before="0" w:after="160" w:line="276" w:lineRule="auto"/>
        <w:ind w:left="850" w:hanging="850"/>
      </w:pPr>
    </w:p>
    <w:p w:rsidR="00A3092D" w:rsidRPr="00813749" w:rsidRDefault="00A3092D" w:rsidP="00D53DEB">
      <w:pPr>
        <w:pStyle w:val="Body"/>
        <w:rPr>
          <w:sz w:val="22"/>
          <w:szCs w:val="22"/>
        </w:rPr>
      </w:pPr>
    </w:p>
    <w:sectPr w:rsidR="00A3092D" w:rsidRPr="00813749" w:rsidSect="00556836">
      <w:footerReference w:type="default" r:id="rId9"/>
      <w:pgSz w:w="11906" w:h="16838" w:code="9"/>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01" w:rsidRDefault="00317B01">
      <w:r>
        <w:separator/>
      </w:r>
    </w:p>
  </w:endnote>
  <w:endnote w:type="continuationSeparator" w:id="0">
    <w:p w:rsidR="00317B01" w:rsidRDefault="0031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779" w:rsidRDefault="00087965" w:rsidP="00A37779">
    <w:pPr>
      <w:pStyle w:val="Footer"/>
      <w:rPr>
        <w:sz w:val="12"/>
      </w:rPr>
    </w:pPr>
    <w:r w:rsidRPr="00087965">
      <w:rPr>
        <w:b/>
        <w:bCs/>
        <w:sz w:val="12"/>
        <w:lang w:val="en-US"/>
      </w:rPr>
      <w:t>27151438.1</w:t>
    </w:r>
  </w:p>
  <w:p w:rsidR="00A37779" w:rsidRDefault="00A37779" w:rsidP="00A37779">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694D44">
      <w:rPr>
        <w:noProof/>
        <w:snapToGrid w:val="0"/>
        <w:lang w:eastAsia="en-US"/>
      </w:rPr>
      <w:t>4</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01" w:rsidRDefault="00317B01">
      <w:r>
        <w:separator/>
      </w:r>
    </w:p>
  </w:footnote>
  <w:footnote w:type="continuationSeparator" w:id="0">
    <w:p w:rsidR="00317B01" w:rsidRDefault="00317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pPr>
        <w:tabs>
          <w:tab w:val="num" w:pos="2551"/>
        </w:tabs>
        <w:ind w:left="2551"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pPr>
        <w:tabs>
          <w:tab w:val="num" w:pos="3118"/>
        </w:tabs>
        <w:ind w:left="3118"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upperRoman"/>
      <w:pStyle w:val="Level6"/>
      <w:lvlText w:val="(%6)"/>
      <w:lvlJc w:val="left"/>
      <w:pPr>
        <w:tabs>
          <w:tab w:val="num" w:pos="3685"/>
        </w:tabs>
        <w:ind w:left="3685" w:hanging="567"/>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FFFFFF7C"/>
    <w:multiLevelType w:val="singleLevel"/>
    <w:tmpl w:val="E2BCE4DC"/>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70922A90"/>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4DCC1606"/>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7EC83A10"/>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D6840002"/>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6968351A"/>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A3047570"/>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082CFEDC"/>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BBFE7766"/>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E1F8A2E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628E230C"/>
    <w:multiLevelType w:val="multilevel"/>
    <w:tmpl w:val="8686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ppendix"/>
      <w:suff w:val="nothing"/>
      <w:lvlText w:val="Appendix %2"/>
      <w:lvlJc w:val="left"/>
      <w:rPr>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Part"/>
      <w:suff w:val="nothing"/>
      <w:lvlText w:val="Part %3"/>
      <w:lvlJc w:val="left"/>
      <w:rPr>
        <w:b/>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1E708D4"/>
    <w:multiLevelType w:val="multilevel"/>
    <w:tmpl w:val="A06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6"/>
  </w:num>
  <w:num w:numId="8">
    <w:abstractNumId w:val="5"/>
  </w:num>
  <w:num w:numId="9">
    <w:abstractNumId w:val="4"/>
  </w:num>
  <w:num w:numId="10">
    <w:abstractNumId w:val="3"/>
  </w:num>
  <w:num w:numId="11">
    <w:abstractNumId w:val="15"/>
  </w:num>
  <w:num w:numId="12">
    <w:abstractNumId w:val="13"/>
  </w:num>
  <w:num w:numId="13">
    <w:abstractNumId w:val="15"/>
  </w:num>
  <w:num w:numId="14">
    <w:abstractNumId w:val="13"/>
  </w:num>
  <w:num w:numId="15">
    <w:abstractNumId w:val="15"/>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
  </w:num>
  <w:num w:numId="23">
    <w:abstractNumId w:val="1"/>
  </w:num>
  <w:num w:numId="24">
    <w:abstractNumId w:val="1"/>
  </w:num>
  <w:num w:numId="25">
    <w:abstractNumId w:val="1"/>
  </w:num>
  <w:num w:numId="26">
    <w:abstractNumId w:val="1"/>
  </w:num>
  <w:num w:numId="27">
    <w:abstractNumId w:val="1"/>
  </w:num>
  <w:num w:numId="28">
    <w:abstractNumId w:val="0"/>
  </w:num>
  <w:num w:numId="29">
    <w:abstractNumId w:val="0"/>
  </w:num>
  <w:num w:numId="30">
    <w:abstractNumId w:val="0"/>
  </w:num>
  <w:num w:numId="31">
    <w:abstractNumId w:val="14"/>
  </w:num>
  <w:num w:numId="32">
    <w:abstractNumId w:val="2"/>
  </w:num>
  <w:num w:numId="33">
    <w:abstractNumId w:val="2"/>
  </w:num>
  <w:num w:numId="34">
    <w:abstractNumId w:val="16"/>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65"/>
    <w:rsid w:val="00010748"/>
    <w:rsid w:val="000359CF"/>
    <w:rsid w:val="000434B1"/>
    <w:rsid w:val="00087965"/>
    <w:rsid w:val="000A2CEB"/>
    <w:rsid w:val="000C61D8"/>
    <w:rsid w:val="001024B4"/>
    <w:rsid w:val="00187199"/>
    <w:rsid w:val="001E1D67"/>
    <w:rsid w:val="00247CE9"/>
    <w:rsid w:val="002902A4"/>
    <w:rsid w:val="002B78EA"/>
    <w:rsid w:val="002D6011"/>
    <w:rsid w:val="002E0C04"/>
    <w:rsid w:val="00307DC3"/>
    <w:rsid w:val="00316B12"/>
    <w:rsid w:val="00317B01"/>
    <w:rsid w:val="00327DA2"/>
    <w:rsid w:val="00331D4E"/>
    <w:rsid w:val="0035203F"/>
    <w:rsid w:val="00355D10"/>
    <w:rsid w:val="003636F5"/>
    <w:rsid w:val="003812DC"/>
    <w:rsid w:val="003E1936"/>
    <w:rsid w:val="00485C8F"/>
    <w:rsid w:val="00496D8A"/>
    <w:rsid w:val="004E6E23"/>
    <w:rsid w:val="00530A01"/>
    <w:rsid w:val="00531D4B"/>
    <w:rsid w:val="00556836"/>
    <w:rsid w:val="00587F00"/>
    <w:rsid w:val="005B7D24"/>
    <w:rsid w:val="00630311"/>
    <w:rsid w:val="00646768"/>
    <w:rsid w:val="0065003E"/>
    <w:rsid w:val="00651FF4"/>
    <w:rsid w:val="006770B2"/>
    <w:rsid w:val="00694D44"/>
    <w:rsid w:val="006C7422"/>
    <w:rsid w:val="006F4579"/>
    <w:rsid w:val="00743A51"/>
    <w:rsid w:val="007745E4"/>
    <w:rsid w:val="007D6C3F"/>
    <w:rsid w:val="00813749"/>
    <w:rsid w:val="008329FE"/>
    <w:rsid w:val="008546A4"/>
    <w:rsid w:val="00890477"/>
    <w:rsid w:val="008C7876"/>
    <w:rsid w:val="008D3FE9"/>
    <w:rsid w:val="009033F5"/>
    <w:rsid w:val="00907629"/>
    <w:rsid w:val="00924DFE"/>
    <w:rsid w:val="009A34AF"/>
    <w:rsid w:val="009A56BD"/>
    <w:rsid w:val="009C7EA9"/>
    <w:rsid w:val="009F0C9F"/>
    <w:rsid w:val="00A1133A"/>
    <w:rsid w:val="00A23987"/>
    <w:rsid w:val="00A3092D"/>
    <w:rsid w:val="00A32035"/>
    <w:rsid w:val="00A37779"/>
    <w:rsid w:val="00A70154"/>
    <w:rsid w:val="00A71208"/>
    <w:rsid w:val="00A749B5"/>
    <w:rsid w:val="00AF341C"/>
    <w:rsid w:val="00BC4487"/>
    <w:rsid w:val="00BF0563"/>
    <w:rsid w:val="00BF6881"/>
    <w:rsid w:val="00C00494"/>
    <w:rsid w:val="00C4326F"/>
    <w:rsid w:val="00C61051"/>
    <w:rsid w:val="00C65042"/>
    <w:rsid w:val="00C65A23"/>
    <w:rsid w:val="00D0674B"/>
    <w:rsid w:val="00D15FF1"/>
    <w:rsid w:val="00D53DEB"/>
    <w:rsid w:val="00DE24E2"/>
    <w:rsid w:val="00DF64E0"/>
    <w:rsid w:val="00E27838"/>
    <w:rsid w:val="00E67BC4"/>
    <w:rsid w:val="00E843E4"/>
    <w:rsid w:val="00EE500F"/>
    <w:rsid w:val="00F115D3"/>
    <w:rsid w:val="00F47C04"/>
    <w:rsid w:val="00F67BAA"/>
    <w:rsid w:val="00FC2B4D"/>
    <w:rsid w:val="00FE4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965"/>
    <w:pPr>
      <w:adjustRightInd w:val="0"/>
      <w:jc w:val="both"/>
    </w:pPr>
    <w:rPr>
      <w:rFonts w:ascii="Arial" w:eastAsia="Arial" w:hAnsi="Arial" w:cs="Arial"/>
    </w:rPr>
  </w:style>
  <w:style w:type="paragraph" w:styleId="Heading1">
    <w:name w:val="heading 1"/>
    <w:basedOn w:val="Normal"/>
    <w:next w:val="Normal"/>
    <w:link w:val="Heading1Char"/>
    <w:qFormat/>
    <w:rsid w:val="00FE4C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DE24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520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E2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59CF"/>
    <w:pPr>
      <w:tabs>
        <w:tab w:val="center" w:pos="4160"/>
        <w:tab w:val="right" w:pos="8300"/>
      </w:tabs>
    </w:pPr>
  </w:style>
  <w:style w:type="paragraph" w:styleId="Footer">
    <w:name w:val="footer"/>
    <w:basedOn w:val="Normal"/>
    <w:rsid w:val="000359CF"/>
    <w:pPr>
      <w:tabs>
        <w:tab w:val="center" w:pos="4160"/>
        <w:tab w:val="right" w:pos="8300"/>
      </w:tabs>
    </w:pPr>
  </w:style>
  <w:style w:type="paragraph" w:styleId="FootnoteText">
    <w:name w:val="footnote text"/>
    <w:basedOn w:val="Normal"/>
    <w:rsid w:val="00C4326F"/>
    <w:rPr>
      <w:sz w:val="16"/>
      <w:szCs w:val="18"/>
    </w:rPr>
  </w:style>
  <w:style w:type="character" w:styleId="FootnoteReference">
    <w:name w:val="footnote reference"/>
    <w:semiHidden/>
    <w:rsid w:val="000434B1"/>
    <w:rPr>
      <w:vertAlign w:val="superscript"/>
    </w:rPr>
  </w:style>
  <w:style w:type="paragraph" w:styleId="EndnoteText">
    <w:name w:val="endnote text"/>
    <w:basedOn w:val="Normal"/>
    <w:rsid w:val="002D6011"/>
    <w:rPr>
      <w:sz w:val="16"/>
      <w:szCs w:val="18"/>
    </w:rPr>
  </w:style>
  <w:style w:type="character" w:styleId="EndnoteReference">
    <w:name w:val="endnote reference"/>
    <w:semiHidden/>
    <w:rsid w:val="000434B1"/>
    <w:rPr>
      <w:vertAlign w:val="superscript"/>
    </w:rPr>
  </w:style>
  <w:style w:type="paragraph" w:customStyle="1" w:styleId="Body">
    <w:name w:val="Body"/>
    <w:basedOn w:val="Normal"/>
    <w:uiPriority w:val="99"/>
    <w:rsid w:val="00087965"/>
    <w:pPr>
      <w:spacing w:before="120" w:after="120"/>
    </w:pPr>
  </w:style>
  <w:style w:type="paragraph" w:styleId="TOC1">
    <w:name w:val="toc 1"/>
    <w:basedOn w:val="Body"/>
    <w:next w:val="Normal"/>
    <w:rsid w:val="00247CE9"/>
    <w:pPr>
      <w:tabs>
        <w:tab w:val="right" w:leader="dot" w:pos="9080"/>
      </w:tabs>
      <w:spacing w:before="0"/>
      <w:ind w:left="720" w:right="720" w:hanging="720"/>
    </w:pPr>
    <w:rPr>
      <w:caps/>
    </w:rPr>
  </w:style>
  <w:style w:type="paragraph" w:styleId="TOC2">
    <w:name w:val="toc 2"/>
    <w:basedOn w:val="TOC1"/>
    <w:rsid w:val="00247CE9"/>
    <w:pPr>
      <w:ind w:left="1440"/>
    </w:pPr>
    <w:rPr>
      <w:caps w:val="0"/>
    </w:rPr>
  </w:style>
  <w:style w:type="paragraph" w:styleId="TOC3">
    <w:name w:val="toc 3"/>
    <w:basedOn w:val="TOC1"/>
    <w:next w:val="Normal"/>
    <w:rsid w:val="00247CE9"/>
    <w:pPr>
      <w:ind w:left="2160"/>
    </w:pPr>
    <w:rPr>
      <w:caps w:val="0"/>
    </w:rPr>
  </w:style>
  <w:style w:type="paragraph" w:styleId="TOC4">
    <w:name w:val="toc 4"/>
    <w:basedOn w:val="TOC1"/>
    <w:next w:val="Normal"/>
    <w:rsid w:val="00FC2B4D"/>
    <w:pPr>
      <w:ind w:left="0" w:firstLine="0"/>
    </w:pPr>
  </w:style>
  <w:style w:type="paragraph" w:styleId="TOC5">
    <w:name w:val="toc 5"/>
    <w:basedOn w:val="TOC4"/>
    <w:next w:val="Normal"/>
    <w:rsid w:val="00247CE9"/>
    <w:pPr>
      <w:ind w:left="720"/>
    </w:pPr>
  </w:style>
  <w:style w:type="paragraph" w:styleId="TOC6">
    <w:name w:val="toc 6"/>
    <w:basedOn w:val="TOC4"/>
    <w:next w:val="Normal"/>
    <w:rsid w:val="00247CE9"/>
    <w:pPr>
      <w:ind w:left="1440"/>
    </w:pPr>
  </w:style>
  <w:style w:type="character" w:customStyle="1" w:styleId="Heading1Char">
    <w:name w:val="Heading 1 Char"/>
    <w:basedOn w:val="DefaultParagraphFont"/>
    <w:link w:val="Heading1"/>
    <w:rsid w:val="00FE4C8E"/>
    <w:rPr>
      <w:rFonts w:asciiTheme="majorHAnsi" w:eastAsiaTheme="majorEastAsia" w:hAnsiTheme="majorHAnsi" w:cstheme="majorBidi"/>
      <w:b/>
      <w:bCs/>
      <w:color w:val="365F91" w:themeColor="accent1" w:themeShade="BF"/>
      <w:sz w:val="28"/>
      <w:szCs w:val="28"/>
    </w:rPr>
  </w:style>
  <w:style w:type="paragraph" w:customStyle="1" w:styleId="Appendix">
    <w:name w:val="Appendix"/>
    <w:basedOn w:val="Body"/>
    <w:next w:val="SubHeading"/>
    <w:uiPriority w:val="99"/>
    <w:rsid w:val="00087965"/>
    <w:pPr>
      <w:keepNext/>
      <w:numPr>
        <w:ilvl w:val="1"/>
        <w:numId w:val="15"/>
      </w:numPr>
      <w:jc w:val="center"/>
    </w:pPr>
    <w:rPr>
      <w:b/>
      <w:bCs/>
    </w:rPr>
  </w:style>
  <w:style w:type="paragraph" w:customStyle="1" w:styleId="Body2">
    <w:name w:val="Body 2"/>
    <w:basedOn w:val="Body"/>
    <w:uiPriority w:val="99"/>
    <w:rsid w:val="00087965"/>
    <w:pPr>
      <w:ind w:left="850"/>
    </w:pPr>
  </w:style>
  <w:style w:type="paragraph" w:customStyle="1" w:styleId="DefinitionText">
    <w:name w:val="Definition Text"/>
    <w:basedOn w:val="Body2"/>
    <w:uiPriority w:val="99"/>
    <w:rsid w:val="00087965"/>
    <w:pPr>
      <w:spacing w:before="0" w:after="240"/>
    </w:pPr>
  </w:style>
  <w:style w:type="paragraph" w:customStyle="1" w:styleId="Definitions">
    <w:name w:val="Definitions"/>
    <w:basedOn w:val="DefinitionText"/>
    <w:next w:val="DefinitionText"/>
    <w:uiPriority w:val="99"/>
    <w:rsid w:val="00087965"/>
    <w:pPr>
      <w:keepNext/>
      <w:spacing w:before="120" w:after="0"/>
      <w:jc w:val="left"/>
    </w:pPr>
    <w:rPr>
      <w:b/>
      <w:bCs/>
    </w:rPr>
  </w:style>
  <w:style w:type="paragraph" w:customStyle="1" w:styleId="Introduction">
    <w:name w:val="Introduction"/>
    <w:basedOn w:val="Body"/>
    <w:uiPriority w:val="99"/>
    <w:rsid w:val="00087965"/>
    <w:pPr>
      <w:numPr>
        <w:ilvl w:val="1"/>
        <w:numId w:val="14"/>
      </w:numPr>
    </w:pPr>
  </w:style>
  <w:style w:type="paragraph" w:customStyle="1" w:styleId="Part">
    <w:name w:val="Part"/>
    <w:basedOn w:val="Body"/>
    <w:next w:val="SubHeading"/>
    <w:uiPriority w:val="99"/>
    <w:rsid w:val="00087965"/>
    <w:pPr>
      <w:keepNext/>
      <w:numPr>
        <w:ilvl w:val="2"/>
        <w:numId w:val="15"/>
      </w:numPr>
      <w:jc w:val="center"/>
    </w:pPr>
    <w:rPr>
      <w:b/>
      <w:bCs/>
    </w:rPr>
  </w:style>
  <w:style w:type="paragraph" w:customStyle="1" w:styleId="Parties">
    <w:name w:val="Parties"/>
    <w:basedOn w:val="Body"/>
    <w:uiPriority w:val="99"/>
    <w:rsid w:val="00087965"/>
    <w:pPr>
      <w:numPr>
        <w:numId w:val="14"/>
      </w:numPr>
    </w:pPr>
  </w:style>
  <w:style w:type="paragraph" w:customStyle="1" w:styleId="Schedule">
    <w:name w:val="Schedule"/>
    <w:basedOn w:val="Body"/>
    <w:next w:val="SubHeading"/>
    <w:uiPriority w:val="99"/>
    <w:rsid w:val="00087965"/>
    <w:pPr>
      <w:keepNext/>
      <w:numPr>
        <w:numId w:val="15"/>
      </w:numPr>
      <w:jc w:val="center"/>
    </w:pPr>
    <w:rPr>
      <w:b/>
      <w:bCs/>
    </w:rPr>
  </w:style>
  <w:style w:type="paragraph" w:customStyle="1" w:styleId="SubHeading">
    <w:name w:val="Sub Heading"/>
    <w:basedOn w:val="Body"/>
    <w:next w:val="Body"/>
    <w:uiPriority w:val="99"/>
    <w:rsid w:val="00087965"/>
    <w:pPr>
      <w:keepNext/>
      <w:jc w:val="center"/>
    </w:pPr>
    <w:rPr>
      <w:b/>
      <w:bCs/>
    </w:rPr>
  </w:style>
  <w:style w:type="paragraph" w:customStyle="1" w:styleId="Body1">
    <w:name w:val="Body 1"/>
    <w:basedOn w:val="Body"/>
    <w:uiPriority w:val="99"/>
    <w:rsid w:val="00087965"/>
    <w:pPr>
      <w:ind w:left="850"/>
    </w:pPr>
  </w:style>
  <w:style w:type="paragraph" w:customStyle="1" w:styleId="Level1">
    <w:name w:val="Level 1"/>
    <w:basedOn w:val="Body1"/>
    <w:uiPriority w:val="99"/>
    <w:rsid w:val="00087965"/>
    <w:pPr>
      <w:numPr>
        <w:numId w:val="21"/>
      </w:numPr>
      <w:outlineLvl w:val="0"/>
    </w:pPr>
  </w:style>
  <w:style w:type="character" w:customStyle="1" w:styleId="Level1asheadingtext">
    <w:name w:val="Level 1 as heading (text)"/>
    <w:basedOn w:val="DefaultParagraphFont"/>
    <w:uiPriority w:val="99"/>
    <w:rsid w:val="00087965"/>
    <w:rPr>
      <w:b/>
      <w:bCs/>
      <w:caps/>
    </w:rPr>
  </w:style>
  <w:style w:type="paragraph" w:customStyle="1" w:styleId="Level2">
    <w:name w:val="Level 2"/>
    <w:basedOn w:val="Body2"/>
    <w:uiPriority w:val="99"/>
    <w:rsid w:val="00087965"/>
    <w:pPr>
      <w:numPr>
        <w:ilvl w:val="1"/>
        <w:numId w:val="21"/>
      </w:numPr>
      <w:outlineLvl w:val="1"/>
    </w:pPr>
  </w:style>
  <w:style w:type="character" w:customStyle="1" w:styleId="Level2asheadingtext">
    <w:name w:val="Level 2 as heading (text)"/>
    <w:basedOn w:val="DefaultParagraphFont"/>
    <w:uiPriority w:val="99"/>
    <w:rsid w:val="00087965"/>
    <w:rPr>
      <w:b/>
      <w:bCs/>
    </w:rPr>
  </w:style>
  <w:style w:type="paragraph" w:customStyle="1" w:styleId="Body3">
    <w:name w:val="Body 3"/>
    <w:basedOn w:val="Body"/>
    <w:uiPriority w:val="99"/>
    <w:rsid w:val="00087965"/>
    <w:pPr>
      <w:ind w:left="1984"/>
    </w:pPr>
  </w:style>
  <w:style w:type="paragraph" w:customStyle="1" w:styleId="Level3">
    <w:name w:val="Level 3"/>
    <w:basedOn w:val="Body3"/>
    <w:uiPriority w:val="99"/>
    <w:rsid w:val="00087965"/>
    <w:pPr>
      <w:numPr>
        <w:ilvl w:val="2"/>
        <w:numId w:val="21"/>
      </w:numPr>
      <w:outlineLvl w:val="2"/>
    </w:pPr>
  </w:style>
  <w:style w:type="character" w:customStyle="1" w:styleId="Level3asheadingtext">
    <w:name w:val="Level 3 as heading (text)"/>
    <w:basedOn w:val="DefaultParagraphFont"/>
    <w:uiPriority w:val="99"/>
    <w:rsid w:val="00087965"/>
    <w:rPr>
      <w:b/>
      <w:bCs/>
    </w:rPr>
  </w:style>
  <w:style w:type="paragraph" w:customStyle="1" w:styleId="Body4">
    <w:name w:val="Body 4"/>
    <w:basedOn w:val="Body"/>
    <w:uiPriority w:val="99"/>
    <w:rsid w:val="00087965"/>
    <w:pPr>
      <w:ind w:left="2551"/>
    </w:pPr>
  </w:style>
  <w:style w:type="paragraph" w:customStyle="1" w:styleId="Level4">
    <w:name w:val="Level 4"/>
    <w:basedOn w:val="Body4"/>
    <w:uiPriority w:val="99"/>
    <w:rsid w:val="00087965"/>
    <w:pPr>
      <w:numPr>
        <w:ilvl w:val="3"/>
        <w:numId w:val="21"/>
      </w:numPr>
      <w:outlineLvl w:val="3"/>
    </w:pPr>
  </w:style>
  <w:style w:type="paragraph" w:customStyle="1" w:styleId="Body5">
    <w:name w:val="Body 5"/>
    <w:basedOn w:val="Body"/>
    <w:uiPriority w:val="99"/>
    <w:rsid w:val="00087965"/>
    <w:pPr>
      <w:ind w:left="3118"/>
    </w:pPr>
  </w:style>
  <w:style w:type="paragraph" w:customStyle="1" w:styleId="Level5">
    <w:name w:val="Level 5"/>
    <w:basedOn w:val="Body5"/>
    <w:uiPriority w:val="99"/>
    <w:rsid w:val="00087965"/>
    <w:pPr>
      <w:numPr>
        <w:ilvl w:val="4"/>
        <w:numId w:val="21"/>
      </w:numPr>
      <w:outlineLvl w:val="4"/>
    </w:pPr>
  </w:style>
  <w:style w:type="paragraph" w:customStyle="1" w:styleId="Body6">
    <w:name w:val="Body 6"/>
    <w:basedOn w:val="Body"/>
    <w:uiPriority w:val="99"/>
    <w:rsid w:val="00087965"/>
    <w:pPr>
      <w:ind w:left="3685"/>
    </w:pPr>
  </w:style>
  <w:style w:type="paragraph" w:customStyle="1" w:styleId="Level6">
    <w:name w:val="Level 6"/>
    <w:basedOn w:val="Body6"/>
    <w:uiPriority w:val="99"/>
    <w:rsid w:val="00087965"/>
    <w:pPr>
      <w:numPr>
        <w:ilvl w:val="5"/>
        <w:numId w:val="21"/>
      </w:numPr>
      <w:outlineLvl w:val="5"/>
    </w:pPr>
  </w:style>
  <w:style w:type="paragraph" w:customStyle="1" w:styleId="Bullet1">
    <w:name w:val="Bullet 1"/>
    <w:basedOn w:val="Body"/>
    <w:uiPriority w:val="99"/>
    <w:rsid w:val="00087965"/>
    <w:pPr>
      <w:numPr>
        <w:numId w:val="27"/>
      </w:numPr>
      <w:outlineLvl w:val="0"/>
    </w:pPr>
  </w:style>
  <w:style w:type="paragraph" w:customStyle="1" w:styleId="Bullet2">
    <w:name w:val="Bullet 2"/>
    <w:basedOn w:val="Body"/>
    <w:uiPriority w:val="99"/>
    <w:rsid w:val="00087965"/>
    <w:pPr>
      <w:numPr>
        <w:ilvl w:val="1"/>
        <w:numId w:val="27"/>
      </w:numPr>
      <w:outlineLvl w:val="1"/>
    </w:pPr>
  </w:style>
  <w:style w:type="paragraph" w:customStyle="1" w:styleId="Bullet3">
    <w:name w:val="Bullet 3"/>
    <w:basedOn w:val="Body"/>
    <w:uiPriority w:val="99"/>
    <w:rsid w:val="00087965"/>
    <w:pPr>
      <w:numPr>
        <w:ilvl w:val="2"/>
        <w:numId w:val="27"/>
      </w:numPr>
      <w:outlineLvl w:val="2"/>
    </w:pPr>
  </w:style>
  <w:style w:type="paragraph" w:customStyle="1" w:styleId="Bullet4">
    <w:name w:val="Bullet 4"/>
    <w:basedOn w:val="Body"/>
    <w:uiPriority w:val="99"/>
    <w:rsid w:val="00087965"/>
    <w:pPr>
      <w:numPr>
        <w:ilvl w:val="3"/>
        <w:numId w:val="27"/>
      </w:numPr>
      <w:outlineLvl w:val="3"/>
    </w:pPr>
  </w:style>
  <w:style w:type="paragraph" w:customStyle="1" w:styleId="Bullet5">
    <w:name w:val="Bullet 5"/>
    <w:basedOn w:val="Body"/>
    <w:uiPriority w:val="99"/>
    <w:rsid w:val="00087965"/>
    <w:pPr>
      <w:numPr>
        <w:ilvl w:val="4"/>
        <w:numId w:val="27"/>
      </w:numPr>
      <w:outlineLvl w:val="4"/>
    </w:pPr>
  </w:style>
  <w:style w:type="paragraph" w:customStyle="1" w:styleId="Bullet6">
    <w:name w:val="Bullet 6"/>
    <w:basedOn w:val="Body"/>
    <w:uiPriority w:val="99"/>
    <w:rsid w:val="00087965"/>
    <w:pPr>
      <w:numPr>
        <w:ilvl w:val="5"/>
        <w:numId w:val="27"/>
      </w:numPr>
      <w:outlineLvl w:val="5"/>
    </w:pPr>
  </w:style>
  <w:style w:type="paragraph" w:customStyle="1" w:styleId="DefinitionBody1">
    <w:name w:val="Definition Body 1"/>
    <w:basedOn w:val="Body"/>
    <w:uiPriority w:val="99"/>
    <w:rsid w:val="00087965"/>
    <w:pPr>
      <w:spacing w:before="0" w:after="240"/>
      <w:ind w:left="1417"/>
    </w:pPr>
  </w:style>
  <w:style w:type="paragraph" w:customStyle="1" w:styleId="Definition1">
    <w:name w:val="Definition 1"/>
    <w:basedOn w:val="DefinitionBody1"/>
    <w:uiPriority w:val="99"/>
    <w:rsid w:val="00087965"/>
    <w:pPr>
      <w:numPr>
        <w:numId w:val="30"/>
      </w:numPr>
      <w:outlineLvl w:val="0"/>
    </w:pPr>
  </w:style>
  <w:style w:type="paragraph" w:customStyle="1" w:styleId="DefinitionBody2">
    <w:name w:val="Definition Body 2"/>
    <w:basedOn w:val="Body"/>
    <w:uiPriority w:val="99"/>
    <w:rsid w:val="00087965"/>
    <w:pPr>
      <w:spacing w:before="0" w:after="240"/>
      <w:ind w:left="1984"/>
    </w:pPr>
  </w:style>
  <w:style w:type="paragraph" w:customStyle="1" w:styleId="Definition2">
    <w:name w:val="Definition 2"/>
    <w:basedOn w:val="DefinitionBody2"/>
    <w:uiPriority w:val="99"/>
    <w:rsid w:val="00087965"/>
    <w:pPr>
      <w:numPr>
        <w:ilvl w:val="1"/>
        <w:numId w:val="30"/>
      </w:numPr>
      <w:outlineLvl w:val="1"/>
    </w:pPr>
  </w:style>
  <w:style w:type="paragraph" w:customStyle="1" w:styleId="DefinitionBody3">
    <w:name w:val="Definition Body 3"/>
    <w:basedOn w:val="Body"/>
    <w:uiPriority w:val="99"/>
    <w:rsid w:val="00087965"/>
    <w:pPr>
      <w:spacing w:before="0" w:after="240"/>
      <w:ind w:left="2551"/>
    </w:pPr>
  </w:style>
  <w:style w:type="paragraph" w:customStyle="1" w:styleId="Definition3">
    <w:name w:val="Definition 3"/>
    <w:basedOn w:val="DefinitionBody3"/>
    <w:uiPriority w:val="99"/>
    <w:rsid w:val="00087965"/>
    <w:pPr>
      <w:numPr>
        <w:ilvl w:val="2"/>
        <w:numId w:val="30"/>
      </w:numPr>
      <w:outlineLvl w:val="2"/>
    </w:pPr>
  </w:style>
  <w:style w:type="character" w:styleId="Hyperlink">
    <w:name w:val="Hyperlink"/>
    <w:basedOn w:val="DefaultParagraphFont"/>
    <w:rsid w:val="00F67BAA"/>
    <w:rPr>
      <w:color w:val="0000FF" w:themeColor="hyperlink"/>
      <w:u w:val="single"/>
    </w:rPr>
  </w:style>
  <w:style w:type="character" w:customStyle="1" w:styleId="Heading3Char">
    <w:name w:val="Heading 3 Char"/>
    <w:basedOn w:val="DefaultParagraphFont"/>
    <w:link w:val="Heading3"/>
    <w:semiHidden/>
    <w:rsid w:val="0035203F"/>
    <w:rPr>
      <w:rFonts w:asciiTheme="majorHAnsi" w:eastAsiaTheme="majorEastAsia" w:hAnsiTheme="majorHAnsi" w:cstheme="majorBidi"/>
      <w:b/>
      <w:bCs/>
      <w:color w:val="4F81BD" w:themeColor="accent1"/>
    </w:rPr>
  </w:style>
  <w:style w:type="character" w:customStyle="1" w:styleId="cosearchterm">
    <w:name w:val="co_searchterm"/>
    <w:basedOn w:val="DefaultParagraphFont"/>
    <w:rsid w:val="0035203F"/>
  </w:style>
  <w:style w:type="character" w:styleId="Emphasis">
    <w:name w:val="Emphasis"/>
    <w:basedOn w:val="DefaultParagraphFont"/>
    <w:uiPriority w:val="20"/>
    <w:qFormat/>
    <w:rsid w:val="0035203F"/>
    <w:rPr>
      <w:i/>
      <w:iCs/>
    </w:rPr>
  </w:style>
  <w:style w:type="character" w:customStyle="1" w:styleId="Heading2Char">
    <w:name w:val="Heading 2 Char"/>
    <w:basedOn w:val="DefaultParagraphFont"/>
    <w:link w:val="Heading2"/>
    <w:semiHidden/>
    <w:rsid w:val="00DE24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DE24E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rsid w:val="003E1936"/>
    <w:rPr>
      <w:rFonts w:ascii="Tahoma" w:hAnsi="Tahoma" w:cs="Tahoma"/>
      <w:sz w:val="16"/>
      <w:szCs w:val="16"/>
    </w:rPr>
  </w:style>
  <w:style w:type="character" w:customStyle="1" w:styleId="BalloonTextChar">
    <w:name w:val="Balloon Text Char"/>
    <w:basedOn w:val="DefaultParagraphFont"/>
    <w:link w:val="BalloonText"/>
    <w:rsid w:val="003E193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816">
      <w:bodyDiv w:val="1"/>
      <w:marLeft w:val="0"/>
      <w:marRight w:val="0"/>
      <w:marTop w:val="0"/>
      <w:marBottom w:val="0"/>
      <w:divBdr>
        <w:top w:val="none" w:sz="0" w:space="0" w:color="auto"/>
        <w:left w:val="none" w:sz="0" w:space="0" w:color="auto"/>
        <w:bottom w:val="none" w:sz="0" w:space="0" w:color="auto"/>
        <w:right w:val="none" w:sz="0" w:space="0" w:color="auto"/>
      </w:divBdr>
      <w:divsChild>
        <w:div w:id="1901867197">
          <w:marLeft w:val="0"/>
          <w:marRight w:val="0"/>
          <w:marTop w:val="224"/>
          <w:marBottom w:val="0"/>
          <w:divBdr>
            <w:top w:val="none" w:sz="0" w:space="0" w:color="auto"/>
            <w:left w:val="none" w:sz="0" w:space="0" w:color="auto"/>
            <w:bottom w:val="none" w:sz="0" w:space="0" w:color="auto"/>
            <w:right w:val="none" w:sz="0" w:space="0" w:color="auto"/>
          </w:divBdr>
          <w:divsChild>
            <w:div w:id="5526100">
              <w:marLeft w:val="0"/>
              <w:marRight w:val="0"/>
              <w:marTop w:val="0"/>
              <w:marBottom w:val="0"/>
              <w:divBdr>
                <w:top w:val="none" w:sz="0" w:space="0" w:color="auto"/>
                <w:left w:val="none" w:sz="0" w:space="0" w:color="auto"/>
                <w:bottom w:val="none" w:sz="0" w:space="0" w:color="auto"/>
                <w:right w:val="none" w:sz="0" w:space="0" w:color="auto"/>
              </w:divBdr>
            </w:div>
          </w:divsChild>
        </w:div>
        <w:div w:id="188833803">
          <w:marLeft w:val="0"/>
          <w:marRight w:val="0"/>
          <w:marTop w:val="224"/>
          <w:marBottom w:val="0"/>
          <w:divBdr>
            <w:top w:val="none" w:sz="0" w:space="0" w:color="auto"/>
            <w:left w:val="none" w:sz="0" w:space="0" w:color="auto"/>
            <w:bottom w:val="none" w:sz="0" w:space="0" w:color="auto"/>
            <w:right w:val="none" w:sz="0" w:space="0" w:color="auto"/>
          </w:divBdr>
          <w:divsChild>
            <w:div w:id="1555048391">
              <w:marLeft w:val="0"/>
              <w:marRight w:val="0"/>
              <w:marTop w:val="0"/>
              <w:marBottom w:val="0"/>
              <w:divBdr>
                <w:top w:val="none" w:sz="0" w:space="0" w:color="auto"/>
                <w:left w:val="none" w:sz="0" w:space="0" w:color="auto"/>
                <w:bottom w:val="none" w:sz="0" w:space="0" w:color="auto"/>
                <w:right w:val="none" w:sz="0" w:space="0" w:color="auto"/>
              </w:divBdr>
            </w:div>
          </w:divsChild>
        </w:div>
        <w:div w:id="1629046012">
          <w:marLeft w:val="0"/>
          <w:marRight w:val="0"/>
          <w:marTop w:val="224"/>
          <w:marBottom w:val="0"/>
          <w:divBdr>
            <w:top w:val="none" w:sz="0" w:space="0" w:color="auto"/>
            <w:left w:val="none" w:sz="0" w:space="0" w:color="auto"/>
            <w:bottom w:val="none" w:sz="0" w:space="0" w:color="auto"/>
            <w:right w:val="none" w:sz="0" w:space="0" w:color="auto"/>
          </w:divBdr>
          <w:divsChild>
            <w:div w:id="905914170">
              <w:marLeft w:val="0"/>
              <w:marRight w:val="0"/>
              <w:marTop w:val="0"/>
              <w:marBottom w:val="0"/>
              <w:divBdr>
                <w:top w:val="none" w:sz="0" w:space="0" w:color="auto"/>
                <w:left w:val="none" w:sz="0" w:space="0" w:color="auto"/>
                <w:bottom w:val="none" w:sz="0" w:space="0" w:color="auto"/>
                <w:right w:val="none" w:sz="0" w:space="0" w:color="auto"/>
              </w:divBdr>
            </w:div>
          </w:divsChild>
        </w:div>
        <w:div w:id="971178510">
          <w:marLeft w:val="0"/>
          <w:marRight w:val="0"/>
          <w:marTop w:val="224"/>
          <w:marBottom w:val="0"/>
          <w:divBdr>
            <w:top w:val="none" w:sz="0" w:space="0" w:color="auto"/>
            <w:left w:val="none" w:sz="0" w:space="0" w:color="auto"/>
            <w:bottom w:val="none" w:sz="0" w:space="0" w:color="auto"/>
            <w:right w:val="none" w:sz="0" w:space="0" w:color="auto"/>
          </w:divBdr>
          <w:divsChild>
            <w:div w:id="126365164">
              <w:marLeft w:val="0"/>
              <w:marRight w:val="0"/>
              <w:marTop w:val="0"/>
              <w:marBottom w:val="0"/>
              <w:divBdr>
                <w:top w:val="none" w:sz="0" w:space="0" w:color="auto"/>
                <w:left w:val="none" w:sz="0" w:space="0" w:color="auto"/>
                <w:bottom w:val="none" w:sz="0" w:space="0" w:color="auto"/>
                <w:right w:val="none" w:sz="0" w:space="0" w:color="auto"/>
              </w:divBdr>
            </w:div>
          </w:divsChild>
        </w:div>
        <w:div w:id="1236625072">
          <w:marLeft w:val="0"/>
          <w:marRight w:val="0"/>
          <w:marTop w:val="224"/>
          <w:marBottom w:val="0"/>
          <w:divBdr>
            <w:top w:val="none" w:sz="0" w:space="0" w:color="auto"/>
            <w:left w:val="none" w:sz="0" w:space="0" w:color="auto"/>
            <w:bottom w:val="none" w:sz="0" w:space="0" w:color="auto"/>
            <w:right w:val="none" w:sz="0" w:space="0" w:color="auto"/>
          </w:divBdr>
          <w:divsChild>
            <w:div w:id="16568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456">
      <w:bodyDiv w:val="1"/>
      <w:marLeft w:val="0"/>
      <w:marRight w:val="0"/>
      <w:marTop w:val="0"/>
      <w:marBottom w:val="0"/>
      <w:divBdr>
        <w:top w:val="none" w:sz="0" w:space="0" w:color="auto"/>
        <w:left w:val="none" w:sz="0" w:space="0" w:color="auto"/>
        <w:bottom w:val="none" w:sz="0" w:space="0" w:color="auto"/>
        <w:right w:val="none" w:sz="0" w:space="0" w:color="auto"/>
      </w:divBdr>
      <w:divsChild>
        <w:div w:id="502549233">
          <w:marLeft w:val="0"/>
          <w:marRight w:val="0"/>
          <w:marTop w:val="224"/>
          <w:marBottom w:val="0"/>
          <w:divBdr>
            <w:top w:val="none" w:sz="0" w:space="0" w:color="auto"/>
            <w:left w:val="none" w:sz="0" w:space="0" w:color="auto"/>
            <w:bottom w:val="none" w:sz="0" w:space="0" w:color="auto"/>
            <w:right w:val="none" w:sz="0" w:space="0" w:color="auto"/>
          </w:divBdr>
          <w:divsChild>
            <w:div w:id="852495108">
              <w:marLeft w:val="0"/>
              <w:marRight w:val="0"/>
              <w:marTop w:val="0"/>
              <w:marBottom w:val="0"/>
              <w:divBdr>
                <w:top w:val="none" w:sz="0" w:space="0" w:color="auto"/>
                <w:left w:val="none" w:sz="0" w:space="0" w:color="auto"/>
                <w:bottom w:val="none" w:sz="0" w:space="0" w:color="auto"/>
                <w:right w:val="none" w:sz="0" w:space="0" w:color="auto"/>
              </w:divBdr>
            </w:div>
          </w:divsChild>
        </w:div>
        <w:div w:id="1752122578">
          <w:marLeft w:val="0"/>
          <w:marRight w:val="0"/>
          <w:marTop w:val="224"/>
          <w:marBottom w:val="0"/>
          <w:divBdr>
            <w:top w:val="none" w:sz="0" w:space="0" w:color="auto"/>
            <w:left w:val="none" w:sz="0" w:space="0" w:color="auto"/>
            <w:bottom w:val="none" w:sz="0" w:space="0" w:color="auto"/>
            <w:right w:val="none" w:sz="0" w:space="0" w:color="auto"/>
          </w:divBdr>
          <w:divsChild>
            <w:div w:id="802119412">
              <w:marLeft w:val="0"/>
              <w:marRight w:val="0"/>
              <w:marTop w:val="0"/>
              <w:marBottom w:val="0"/>
              <w:divBdr>
                <w:top w:val="none" w:sz="0" w:space="0" w:color="auto"/>
                <w:left w:val="none" w:sz="0" w:space="0" w:color="auto"/>
                <w:bottom w:val="none" w:sz="0" w:space="0" w:color="auto"/>
                <w:right w:val="none" w:sz="0" w:space="0" w:color="auto"/>
              </w:divBdr>
            </w:div>
          </w:divsChild>
        </w:div>
        <w:div w:id="50620332">
          <w:marLeft w:val="0"/>
          <w:marRight w:val="0"/>
          <w:marTop w:val="224"/>
          <w:marBottom w:val="0"/>
          <w:divBdr>
            <w:top w:val="none" w:sz="0" w:space="0" w:color="auto"/>
            <w:left w:val="none" w:sz="0" w:space="0" w:color="auto"/>
            <w:bottom w:val="none" w:sz="0" w:space="0" w:color="auto"/>
            <w:right w:val="none" w:sz="0" w:space="0" w:color="auto"/>
          </w:divBdr>
          <w:divsChild>
            <w:div w:id="1286081213">
              <w:marLeft w:val="0"/>
              <w:marRight w:val="0"/>
              <w:marTop w:val="0"/>
              <w:marBottom w:val="0"/>
              <w:divBdr>
                <w:top w:val="none" w:sz="0" w:space="0" w:color="auto"/>
                <w:left w:val="none" w:sz="0" w:space="0" w:color="auto"/>
                <w:bottom w:val="none" w:sz="0" w:space="0" w:color="auto"/>
                <w:right w:val="none" w:sz="0" w:space="0" w:color="auto"/>
              </w:divBdr>
            </w:div>
          </w:divsChild>
        </w:div>
        <w:div w:id="1853372724">
          <w:marLeft w:val="0"/>
          <w:marRight w:val="0"/>
          <w:marTop w:val="224"/>
          <w:marBottom w:val="0"/>
          <w:divBdr>
            <w:top w:val="none" w:sz="0" w:space="0" w:color="auto"/>
            <w:left w:val="none" w:sz="0" w:space="0" w:color="auto"/>
            <w:bottom w:val="none" w:sz="0" w:space="0" w:color="auto"/>
            <w:right w:val="none" w:sz="0" w:space="0" w:color="auto"/>
          </w:divBdr>
          <w:divsChild>
            <w:div w:id="1577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4919">
      <w:bodyDiv w:val="1"/>
      <w:marLeft w:val="0"/>
      <w:marRight w:val="0"/>
      <w:marTop w:val="0"/>
      <w:marBottom w:val="0"/>
      <w:divBdr>
        <w:top w:val="none" w:sz="0" w:space="0" w:color="auto"/>
        <w:left w:val="none" w:sz="0" w:space="0" w:color="auto"/>
        <w:bottom w:val="none" w:sz="0" w:space="0" w:color="auto"/>
        <w:right w:val="none" w:sz="0" w:space="0" w:color="auto"/>
      </w:divBdr>
      <w:divsChild>
        <w:div w:id="1821535509">
          <w:marLeft w:val="0"/>
          <w:marRight w:val="0"/>
          <w:marTop w:val="352"/>
          <w:marBottom w:val="0"/>
          <w:divBdr>
            <w:top w:val="none" w:sz="0" w:space="0" w:color="auto"/>
            <w:left w:val="none" w:sz="0" w:space="0" w:color="auto"/>
            <w:bottom w:val="single" w:sz="6" w:space="18" w:color="CCCCCC"/>
            <w:right w:val="none" w:sz="0" w:space="0" w:color="auto"/>
          </w:divBdr>
          <w:divsChild>
            <w:div w:id="410471972">
              <w:marLeft w:val="0"/>
              <w:marRight w:val="0"/>
              <w:marTop w:val="224"/>
              <w:marBottom w:val="0"/>
              <w:divBdr>
                <w:top w:val="none" w:sz="0" w:space="0" w:color="auto"/>
                <w:left w:val="none" w:sz="0" w:space="0" w:color="auto"/>
                <w:bottom w:val="none" w:sz="0" w:space="0" w:color="auto"/>
                <w:right w:val="none" w:sz="0" w:space="0" w:color="auto"/>
              </w:divBdr>
              <w:divsChild>
                <w:div w:id="20140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5112">
          <w:marLeft w:val="0"/>
          <w:marRight w:val="0"/>
          <w:marTop w:val="224"/>
          <w:marBottom w:val="0"/>
          <w:divBdr>
            <w:top w:val="none" w:sz="0" w:space="0" w:color="auto"/>
            <w:left w:val="none" w:sz="0" w:space="0" w:color="auto"/>
            <w:bottom w:val="none" w:sz="0" w:space="0" w:color="auto"/>
            <w:right w:val="none" w:sz="0" w:space="0" w:color="auto"/>
          </w:divBdr>
          <w:divsChild>
            <w:div w:id="1913542953">
              <w:marLeft w:val="0"/>
              <w:marRight w:val="0"/>
              <w:marTop w:val="0"/>
              <w:marBottom w:val="0"/>
              <w:divBdr>
                <w:top w:val="none" w:sz="0" w:space="0" w:color="auto"/>
                <w:left w:val="none" w:sz="0" w:space="0" w:color="auto"/>
                <w:bottom w:val="none" w:sz="0" w:space="0" w:color="auto"/>
                <w:right w:val="none" w:sz="0" w:space="0" w:color="auto"/>
              </w:divBdr>
            </w:div>
          </w:divsChild>
        </w:div>
        <w:div w:id="1887795906">
          <w:marLeft w:val="0"/>
          <w:marRight w:val="0"/>
          <w:marTop w:val="224"/>
          <w:marBottom w:val="0"/>
          <w:divBdr>
            <w:top w:val="none" w:sz="0" w:space="0" w:color="auto"/>
            <w:left w:val="none" w:sz="0" w:space="0" w:color="auto"/>
            <w:bottom w:val="none" w:sz="0" w:space="0" w:color="auto"/>
            <w:right w:val="none" w:sz="0" w:space="0" w:color="auto"/>
          </w:divBdr>
          <w:divsChild>
            <w:div w:id="330842002">
              <w:marLeft w:val="0"/>
              <w:marRight w:val="0"/>
              <w:marTop w:val="0"/>
              <w:marBottom w:val="0"/>
              <w:divBdr>
                <w:top w:val="none" w:sz="0" w:space="0" w:color="auto"/>
                <w:left w:val="none" w:sz="0" w:space="0" w:color="auto"/>
                <w:bottom w:val="none" w:sz="0" w:space="0" w:color="auto"/>
                <w:right w:val="none" w:sz="0" w:space="0" w:color="auto"/>
              </w:divBdr>
            </w:div>
          </w:divsChild>
        </w:div>
        <w:div w:id="68624542">
          <w:marLeft w:val="0"/>
          <w:marRight w:val="0"/>
          <w:marTop w:val="224"/>
          <w:marBottom w:val="0"/>
          <w:divBdr>
            <w:top w:val="none" w:sz="0" w:space="0" w:color="auto"/>
            <w:left w:val="none" w:sz="0" w:space="0" w:color="auto"/>
            <w:bottom w:val="none" w:sz="0" w:space="0" w:color="auto"/>
            <w:right w:val="none" w:sz="0" w:space="0" w:color="auto"/>
          </w:divBdr>
          <w:divsChild>
            <w:div w:id="493909397">
              <w:marLeft w:val="0"/>
              <w:marRight w:val="0"/>
              <w:marTop w:val="0"/>
              <w:marBottom w:val="0"/>
              <w:divBdr>
                <w:top w:val="none" w:sz="0" w:space="0" w:color="auto"/>
                <w:left w:val="none" w:sz="0" w:space="0" w:color="auto"/>
                <w:bottom w:val="none" w:sz="0" w:space="0" w:color="auto"/>
                <w:right w:val="none" w:sz="0" w:space="0" w:color="auto"/>
              </w:divBdr>
            </w:div>
          </w:divsChild>
        </w:div>
        <w:div w:id="455950873">
          <w:marLeft w:val="0"/>
          <w:marRight w:val="0"/>
          <w:marTop w:val="224"/>
          <w:marBottom w:val="0"/>
          <w:divBdr>
            <w:top w:val="none" w:sz="0" w:space="0" w:color="auto"/>
            <w:left w:val="none" w:sz="0" w:space="0" w:color="auto"/>
            <w:bottom w:val="none" w:sz="0" w:space="0" w:color="auto"/>
            <w:right w:val="none" w:sz="0" w:space="0" w:color="auto"/>
          </w:divBdr>
          <w:divsChild>
            <w:div w:id="1871719471">
              <w:marLeft w:val="0"/>
              <w:marRight w:val="0"/>
              <w:marTop w:val="0"/>
              <w:marBottom w:val="0"/>
              <w:divBdr>
                <w:top w:val="none" w:sz="0" w:space="0" w:color="auto"/>
                <w:left w:val="none" w:sz="0" w:space="0" w:color="auto"/>
                <w:bottom w:val="none" w:sz="0" w:space="0" w:color="auto"/>
                <w:right w:val="none" w:sz="0" w:space="0" w:color="auto"/>
              </w:divBdr>
            </w:div>
          </w:divsChild>
        </w:div>
        <w:div w:id="510293168">
          <w:marLeft w:val="0"/>
          <w:marRight w:val="0"/>
          <w:marTop w:val="224"/>
          <w:marBottom w:val="0"/>
          <w:divBdr>
            <w:top w:val="none" w:sz="0" w:space="0" w:color="auto"/>
            <w:left w:val="none" w:sz="0" w:space="0" w:color="auto"/>
            <w:bottom w:val="none" w:sz="0" w:space="0" w:color="auto"/>
            <w:right w:val="none" w:sz="0" w:space="0" w:color="auto"/>
          </w:divBdr>
          <w:divsChild>
            <w:div w:id="1252083568">
              <w:marLeft w:val="0"/>
              <w:marRight w:val="0"/>
              <w:marTop w:val="0"/>
              <w:marBottom w:val="0"/>
              <w:divBdr>
                <w:top w:val="none" w:sz="0" w:space="0" w:color="auto"/>
                <w:left w:val="none" w:sz="0" w:space="0" w:color="auto"/>
                <w:bottom w:val="none" w:sz="0" w:space="0" w:color="auto"/>
                <w:right w:val="none" w:sz="0" w:space="0" w:color="auto"/>
              </w:divBdr>
            </w:div>
          </w:divsChild>
        </w:div>
        <w:div w:id="649290768">
          <w:marLeft w:val="0"/>
          <w:marRight w:val="0"/>
          <w:marTop w:val="224"/>
          <w:marBottom w:val="0"/>
          <w:divBdr>
            <w:top w:val="none" w:sz="0" w:space="0" w:color="auto"/>
            <w:left w:val="none" w:sz="0" w:space="0" w:color="auto"/>
            <w:bottom w:val="none" w:sz="0" w:space="0" w:color="auto"/>
            <w:right w:val="none" w:sz="0" w:space="0" w:color="auto"/>
          </w:divBdr>
          <w:divsChild>
            <w:div w:id="537013329">
              <w:marLeft w:val="0"/>
              <w:marRight w:val="0"/>
              <w:marTop w:val="0"/>
              <w:marBottom w:val="0"/>
              <w:divBdr>
                <w:top w:val="none" w:sz="0" w:space="0" w:color="auto"/>
                <w:left w:val="none" w:sz="0" w:space="0" w:color="auto"/>
                <w:bottom w:val="none" w:sz="0" w:space="0" w:color="auto"/>
                <w:right w:val="none" w:sz="0" w:space="0" w:color="auto"/>
              </w:divBdr>
            </w:div>
          </w:divsChild>
        </w:div>
        <w:div w:id="1323125457">
          <w:marLeft w:val="0"/>
          <w:marRight w:val="0"/>
          <w:marTop w:val="224"/>
          <w:marBottom w:val="0"/>
          <w:divBdr>
            <w:top w:val="none" w:sz="0" w:space="0" w:color="auto"/>
            <w:left w:val="none" w:sz="0" w:space="0" w:color="auto"/>
            <w:bottom w:val="none" w:sz="0" w:space="0" w:color="auto"/>
            <w:right w:val="none" w:sz="0" w:space="0" w:color="auto"/>
          </w:divBdr>
          <w:divsChild>
            <w:div w:id="1844083863">
              <w:marLeft w:val="0"/>
              <w:marRight w:val="0"/>
              <w:marTop w:val="0"/>
              <w:marBottom w:val="0"/>
              <w:divBdr>
                <w:top w:val="none" w:sz="0" w:space="0" w:color="auto"/>
                <w:left w:val="none" w:sz="0" w:space="0" w:color="auto"/>
                <w:bottom w:val="none" w:sz="0" w:space="0" w:color="auto"/>
                <w:right w:val="none" w:sz="0" w:space="0" w:color="auto"/>
              </w:divBdr>
            </w:div>
          </w:divsChild>
        </w:div>
        <w:div w:id="593130200">
          <w:marLeft w:val="0"/>
          <w:marRight w:val="0"/>
          <w:marTop w:val="224"/>
          <w:marBottom w:val="0"/>
          <w:divBdr>
            <w:top w:val="none" w:sz="0" w:space="0" w:color="auto"/>
            <w:left w:val="none" w:sz="0" w:space="0" w:color="auto"/>
            <w:bottom w:val="none" w:sz="0" w:space="0" w:color="auto"/>
            <w:right w:val="none" w:sz="0" w:space="0" w:color="auto"/>
          </w:divBdr>
          <w:divsChild>
            <w:div w:id="1607732783">
              <w:marLeft w:val="0"/>
              <w:marRight w:val="0"/>
              <w:marTop w:val="0"/>
              <w:marBottom w:val="0"/>
              <w:divBdr>
                <w:top w:val="none" w:sz="0" w:space="0" w:color="auto"/>
                <w:left w:val="none" w:sz="0" w:space="0" w:color="auto"/>
                <w:bottom w:val="none" w:sz="0" w:space="0" w:color="auto"/>
                <w:right w:val="none" w:sz="0" w:space="0" w:color="auto"/>
              </w:divBdr>
            </w:div>
          </w:divsChild>
        </w:div>
        <w:div w:id="1787625764">
          <w:marLeft w:val="0"/>
          <w:marRight w:val="0"/>
          <w:marTop w:val="224"/>
          <w:marBottom w:val="0"/>
          <w:divBdr>
            <w:top w:val="none" w:sz="0" w:space="0" w:color="auto"/>
            <w:left w:val="none" w:sz="0" w:space="0" w:color="auto"/>
            <w:bottom w:val="none" w:sz="0" w:space="0" w:color="auto"/>
            <w:right w:val="none" w:sz="0" w:space="0" w:color="auto"/>
          </w:divBdr>
          <w:divsChild>
            <w:div w:id="2072532487">
              <w:marLeft w:val="0"/>
              <w:marRight w:val="0"/>
              <w:marTop w:val="0"/>
              <w:marBottom w:val="0"/>
              <w:divBdr>
                <w:top w:val="none" w:sz="0" w:space="0" w:color="auto"/>
                <w:left w:val="none" w:sz="0" w:space="0" w:color="auto"/>
                <w:bottom w:val="none" w:sz="0" w:space="0" w:color="auto"/>
                <w:right w:val="none" w:sz="0" w:space="0" w:color="auto"/>
              </w:divBdr>
            </w:div>
          </w:divsChild>
        </w:div>
        <w:div w:id="1895964839">
          <w:marLeft w:val="0"/>
          <w:marRight w:val="0"/>
          <w:marTop w:val="0"/>
          <w:marBottom w:val="0"/>
          <w:divBdr>
            <w:top w:val="none" w:sz="0" w:space="0" w:color="auto"/>
            <w:left w:val="none" w:sz="0" w:space="0" w:color="auto"/>
            <w:bottom w:val="none" w:sz="0" w:space="0" w:color="auto"/>
            <w:right w:val="none" w:sz="0" w:space="0" w:color="auto"/>
          </w:divBdr>
          <w:divsChild>
            <w:div w:id="2141608842">
              <w:marLeft w:val="0"/>
              <w:marRight w:val="0"/>
              <w:marTop w:val="0"/>
              <w:marBottom w:val="0"/>
              <w:divBdr>
                <w:top w:val="none" w:sz="0" w:space="0" w:color="auto"/>
                <w:left w:val="none" w:sz="0" w:space="0" w:color="auto"/>
                <w:bottom w:val="none" w:sz="0" w:space="0" w:color="auto"/>
                <w:right w:val="none" w:sz="0" w:space="0" w:color="auto"/>
              </w:divBdr>
              <w:divsChild>
                <w:div w:id="1224412191">
                  <w:marLeft w:val="0"/>
                  <w:marRight w:val="0"/>
                  <w:marTop w:val="0"/>
                  <w:marBottom w:val="0"/>
                  <w:divBdr>
                    <w:top w:val="none" w:sz="0" w:space="0" w:color="auto"/>
                    <w:left w:val="none" w:sz="0" w:space="0" w:color="auto"/>
                    <w:bottom w:val="none" w:sz="0" w:space="0" w:color="auto"/>
                    <w:right w:val="none" w:sz="0" w:space="0" w:color="auto"/>
                  </w:divBdr>
                  <w:divsChild>
                    <w:div w:id="9616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8774">
              <w:marLeft w:val="0"/>
              <w:marRight w:val="0"/>
              <w:marTop w:val="0"/>
              <w:marBottom w:val="0"/>
              <w:divBdr>
                <w:top w:val="none" w:sz="0" w:space="0" w:color="auto"/>
                <w:left w:val="none" w:sz="0" w:space="0" w:color="auto"/>
                <w:bottom w:val="none" w:sz="0" w:space="0" w:color="auto"/>
                <w:right w:val="none" w:sz="0" w:space="0" w:color="auto"/>
              </w:divBdr>
              <w:divsChild>
                <w:div w:id="585501349">
                  <w:marLeft w:val="0"/>
                  <w:marRight w:val="0"/>
                  <w:marTop w:val="0"/>
                  <w:marBottom w:val="0"/>
                  <w:divBdr>
                    <w:top w:val="none" w:sz="0" w:space="0" w:color="auto"/>
                    <w:left w:val="none" w:sz="0" w:space="0" w:color="auto"/>
                    <w:bottom w:val="none" w:sz="0" w:space="0" w:color="auto"/>
                    <w:right w:val="none" w:sz="0" w:space="0" w:color="auto"/>
                  </w:divBdr>
                  <w:divsChild>
                    <w:div w:id="15365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0384">
              <w:marLeft w:val="0"/>
              <w:marRight w:val="0"/>
              <w:marTop w:val="0"/>
              <w:marBottom w:val="0"/>
              <w:divBdr>
                <w:top w:val="none" w:sz="0" w:space="0" w:color="auto"/>
                <w:left w:val="none" w:sz="0" w:space="0" w:color="auto"/>
                <w:bottom w:val="none" w:sz="0" w:space="0" w:color="auto"/>
                <w:right w:val="none" w:sz="0" w:space="0" w:color="auto"/>
              </w:divBdr>
              <w:divsChild>
                <w:div w:id="1589730694">
                  <w:marLeft w:val="0"/>
                  <w:marRight w:val="0"/>
                  <w:marTop w:val="0"/>
                  <w:marBottom w:val="0"/>
                  <w:divBdr>
                    <w:top w:val="none" w:sz="0" w:space="0" w:color="auto"/>
                    <w:left w:val="none" w:sz="0" w:space="0" w:color="auto"/>
                    <w:bottom w:val="none" w:sz="0" w:space="0" w:color="auto"/>
                    <w:right w:val="none" w:sz="0" w:space="0" w:color="auto"/>
                  </w:divBdr>
                  <w:divsChild>
                    <w:div w:id="414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611">
              <w:marLeft w:val="0"/>
              <w:marRight w:val="0"/>
              <w:marTop w:val="0"/>
              <w:marBottom w:val="0"/>
              <w:divBdr>
                <w:top w:val="none" w:sz="0" w:space="0" w:color="auto"/>
                <w:left w:val="none" w:sz="0" w:space="0" w:color="auto"/>
                <w:bottom w:val="none" w:sz="0" w:space="0" w:color="auto"/>
                <w:right w:val="none" w:sz="0" w:space="0" w:color="auto"/>
              </w:divBdr>
              <w:divsChild>
                <w:div w:id="948897795">
                  <w:marLeft w:val="0"/>
                  <w:marRight w:val="0"/>
                  <w:marTop w:val="0"/>
                  <w:marBottom w:val="0"/>
                  <w:divBdr>
                    <w:top w:val="none" w:sz="0" w:space="0" w:color="auto"/>
                    <w:left w:val="none" w:sz="0" w:space="0" w:color="auto"/>
                    <w:bottom w:val="none" w:sz="0" w:space="0" w:color="auto"/>
                    <w:right w:val="none" w:sz="0" w:space="0" w:color="auto"/>
                  </w:divBdr>
                  <w:divsChild>
                    <w:div w:id="17422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820">
              <w:marLeft w:val="0"/>
              <w:marRight w:val="0"/>
              <w:marTop w:val="0"/>
              <w:marBottom w:val="0"/>
              <w:divBdr>
                <w:top w:val="none" w:sz="0" w:space="0" w:color="auto"/>
                <w:left w:val="none" w:sz="0" w:space="0" w:color="auto"/>
                <w:bottom w:val="none" w:sz="0" w:space="0" w:color="auto"/>
                <w:right w:val="none" w:sz="0" w:space="0" w:color="auto"/>
              </w:divBdr>
              <w:divsChild>
                <w:div w:id="1985770863">
                  <w:marLeft w:val="0"/>
                  <w:marRight w:val="0"/>
                  <w:marTop w:val="0"/>
                  <w:marBottom w:val="0"/>
                  <w:divBdr>
                    <w:top w:val="none" w:sz="0" w:space="0" w:color="auto"/>
                    <w:left w:val="none" w:sz="0" w:space="0" w:color="auto"/>
                    <w:bottom w:val="none" w:sz="0" w:space="0" w:color="auto"/>
                    <w:right w:val="none" w:sz="0" w:space="0" w:color="auto"/>
                  </w:divBdr>
                  <w:divsChild>
                    <w:div w:id="20898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813">
              <w:marLeft w:val="0"/>
              <w:marRight w:val="0"/>
              <w:marTop w:val="0"/>
              <w:marBottom w:val="0"/>
              <w:divBdr>
                <w:top w:val="none" w:sz="0" w:space="0" w:color="auto"/>
                <w:left w:val="none" w:sz="0" w:space="0" w:color="auto"/>
                <w:bottom w:val="none" w:sz="0" w:space="0" w:color="auto"/>
                <w:right w:val="none" w:sz="0" w:space="0" w:color="auto"/>
              </w:divBdr>
              <w:divsChild>
                <w:div w:id="2091809016">
                  <w:marLeft w:val="0"/>
                  <w:marRight w:val="0"/>
                  <w:marTop w:val="0"/>
                  <w:marBottom w:val="0"/>
                  <w:divBdr>
                    <w:top w:val="none" w:sz="0" w:space="0" w:color="auto"/>
                    <w:left w:val="none" w:sz="0" w:space="0" w:color="auto"/>
                    <w:bottom w:val="none" w:sz="0" w:space="0" w:color="auto"/>
                    <w:right w:val="none" w:sz="0" w:space="0" w:color="auto"/>
                  </w:divBdr>
                  <w:divsChild>
                    <w:div w:id="5828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5411">
              <w:marLeft w:val="0"/>
              <w:marRight w:val="0"/>
              <w:marTop w:val="0"/>
              <w:marBottom w:val="0"/>
              <w:divBdr>
                <w:top w:val="none" w:sz="0" w:space="0" w:color="auto"/>
                <w:left w:val="none" w:sz="0" w:space="0" w:color="auto"/>
                <w:bottom w:val="none" w:sz="0" w:space="0" w:color="auto"/>
                <w:right w:val="none" w:sz="0" w:space="0" w:color="auto"/>
              </w:divBdr>
              <w:divsChild>
                <w:div w:id="276914568">
                  <w:marLeft w:val="0"/>
                  <w:marRight w:val="0"/>
                  <w:marTop w:val="0"/>
                  <w:marBottom w:val="0"/>
                  <w:divBdr>
                    <w:top w:val="none" w:sz="0" w:space="0" w:color="auto"/>
                    <w:left w:val="none" w:sz="0" w:space="0" w:color="auto"/>
                    <w:bottom w:val="none" w:sz="0" w:space="0" w:color="auto"/>
                    <w:right w:val="none" w:sz="0" w:space="0" w:color="auto"/>
                  </w:divBdr>
                  <w:divsChild>
                    <w:div w:id="2007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2148">
              <w:marLeft w:val="0"/>
              <w:marRight w:val="0"/>
              <w:marTop w:val="0"/>
              <w:marBottom w:val="0"/>
              <w:divBdr>
                <w:top w:val="none" w:sz="0" w:space="0" w:color="auto"/>
                <w:left w:val="none" w:sz="0" w:space="0" w:color="auto"/>
                <w:bottom w:val="none" w:sz="0" w:space="0" w:color="auto"/>
                <w:right w:val="none" w:sz="0" w:space="0" w:color="auto"/>
              </w:divBdr>
              <w:divsChild>
                <w:div w:id="198587189">
                  <w:marLeft w:val="0"/>
                  <w:marRight w:val="0"/>
                  <w:marTop w:val="0"/>
                  <w:marBottom w:val="0"/>
                  <w:divBdr>
                    <w:top w:val="none" w:sz="0" w:space="0" w:color="auto"/>
                    <w:left w:val="none" w:sz="0" w:space="0" w:color="auto"/>
                    <w:bottom w:val="none" w:sz="0" w:space="0" w:color="auto"/>
                    <w:right w:val="none" w:sz="0" w:space="0" w:color="auto"/>
                  </w:divBdr>
                  <w:divsChild>
                    <w:div w:id="8804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8789">
              <w:marLeft w:val="0"/>
              <w:marRight w:val="0"/>
              <w:marTop w:val="0"/>
              <w:marBottom w:val="0"/>
              <w:divBdr>
                <w:top w:val="none" w:sz="0" w:space="0" w:color="auto"/>
                <w:left w:val="none" w:sz="0" w:space="0" w:color="auto"/>
                <w:bottom w:val="none" w:sz="0" w:space="0" w:color="auto"/>
                <w:right w:val="none" w:sz="0" w:space="0" w:color="auto"/>
              </w:divBdr>
              <w:divsChild>
                <w:div w:id="1771197178">
                  <w:marLeft w:val="0"/>
                  <w:marRight w:val="0"/>
                  <w:marTop w:val="0"/>
                  <w:marBottom w:val="0"/>
                  <w:divBdr>
                    <w:top w:val="none" w:sz="0" w:space="0" w:color="auto"/>
                    <w:left w:val="none" w:sz="0" w:space="0" w:color="auto"/>
                    <w:bottom w:val="none" w:sz="0" w:space="0" w:color="auto"/>
                    <w:right w:val="none" w:sz="0" w:space="0" w:color="auto"/>
                  </w:divBdr>
                  <w:divsChild>
                    <w:div w:id="5424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0180">
              <w:marLeft w:val="0"/>
              <w:marRight w:val="0"/>
              <w:marTop w:val="0"/>
              <w:marBottom w:val="0"/>
              <w:divBdr>
                <w:top w:val="none" w:sz="0" w:space="0" w:color="auto"/>
                <w:left w:val="none" w:sz="0" w:space="0" w:color="auto"/>
                <w:bottom w:val="none" w:sz="0" w:space="0" w:color="auto"/>
                <w:right w:val="none" w:sz="0" w:space="0" w:color="auto"/>
              </w:divBdr>
              <w:divsChild>
                <w:div w:id="947615568">
                  <w:marLeft w:val="0"/>
                  <w:marRight w:val="0"/>
                  <w:marTop w:val="0"/>
                  <w:marBottom w:val="0"/>
                  <w:divBdr>
                    <w:top w:val="none" w:sz="0" w:space="0" w:color="auto"/>
                    <w:left w:val="none" w:sz="0" w:space="0" w:color="auto"/>
                    <w:bottom w:val="none" w:sz="0" w:space="0" w:color="auto"/>
                    <w:right w:val="none" w:sz="0" w:space="0" w:color="auto"/>
                  </w:divBdr>
                  <w:divsChild>
                    <w:div w:id="14062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3802">
              <w:marLeft w:val="0"/>
              <w:marRight w:val="0"/>
              <w:marTop w:val="0"/>
              <w:marBottom w:val="0"/>
              <w:divBdr>
                <w:top w:val="none" w:sz="0" w:space="0" w:color="auto"/>
                <w:left w:val="none" w:sz="0" w:space="0" w:color="auto"/>
                <w:bottom w:val="none" w:sz="0" w:space="0" w:color="auto"/>
                <w:right w:val="none" w:sz="0" w:space="0" w:color="auto"/>
              </w:divBdr>
              <w:divsChild>
                <w:div w:id="357969930">
                  <w:marLeft w:val="0"/>
                  <w:marRight w:val="0"/>
                  <w:marTop w:val="0"/>
                  <w:marBottom w:val="0"/>
                  <w:divBdr>
                    <w:top w:val="none" w:sz="0" w:space="0" w:color="auto"/>
                    <w:left w:val="none" w:sz="0" w:space="0" w:color="auto"/>
                    <w:bottom w:val="none" w:sz="0" w:space="0" w:color="auto"/>
                    <w:right w:val="none" w:sz="0" w:space="0" w:color="auto"/>
                  </w:divBdr>
                  <w:divsChild>
                    <w:div w:id="1077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74898">
      <w:bodyDiv w:val="1"/>
      <w:marLeft w:val="0"/>
      <w:marRight w:val="0"/>
      <w:marTop w:val="0"/>
      <w:marBottom w:val="0"/>
      <w:divBdr>
        <w:top w:val="none" w:sz="0" w:space="0" w:color="auto"/>
        <w:left w:val="none" w:sz="0" w:space="0" w:color="auto"/>
        <w:bottom w:val="none" w:sz="0" w:space="0" w:color="auto"/>
        <w:right w:val="none" w:sz="0" w:space="0" w:color="auto"/>
      </w:divBdr>
      <w:divsChild>
        <w:div w:id="2145927449">
          <w:marLeft w:val="0"/>
          <w:marRight w:val="0"/>
          <w:marTop w:val="224"/>
          <w:marBottom w:val="0"/>
          <w:divBdr>
            <w:top w:val="none" w:sz="0" w:space="0" w:color="auto"/>
            <w:left w:val="none" w:sz="0" w:space="0" w:color="auto"/>
            <w:bottom w:val="none" w:sz="0" w:space="0" w:color="auto"/>
            <w:right w:val="none" w:sz="0" w:space="0" w:color="auto"/>
          </w:divBdr>
          <w:divsChild>
            <w:div w:id="773792210">
              <w:marLeft w:val="0"/>
              <w:marRight w:val="0"/>
              <w:marTop w:val="0"/>
              <w:marBottom w:val="0"/>
              <w:divBdr>
                <w:top w:val="none" w:sz="0" w:space="0" w:color="auto"/>
                <w:left w:val="none" w:sz="0" w:space="0" w:color="auto"/>
                <w:bottom w:val="none" w:sz="0" w:space="0" w:color="auto"/>
                <w:right w:val="none" w:sz="0" w:space="0" w:color="auto"/>
              </w:divBdr>
            </w:div>
          </w:divsChild>
        </w:div>
        <w:div w:id="1617060179">
          <w:marLeft w:val="0"/>
          <w:marRight w:val="0"/>
          <w:marTop w:val="0"/>
          <w:marBottom w:val="0"/>
          <w:divBdr>
            <w:top w:val="none" w:sz="0" w:space="0" w:color="auto"/>
            <w:left w:val="none" w:sz="0" w:space="0" w:color="auto"/>
            <w:bottom w:val="none" w:sz="0" w:space="0" w:color="auto"/>
            <w:right w:val="none" w:sz="0" w:space="0" w:color="auto"/>
          </w:divBdr>
          <w:divsChild>
            <w:div w:id="834491594">
              <w:marLeft w:val="0"/>
              <w:marRight w:val="0"/>
              <w:marTop w:val="224"/>
              <w:marBottom w:val="0"/>
              <w:divBdr>
                <w:top w:val="none" w:sz="0" w:space="0" w:color="auto"/>
                <w:left w:val="none" w:sz="0" w:space="0" w:color="auto"/>
                <w:bottom w:val="none" w:sz="0" w:space="0" w:color="auto"/>
                <w:right w:val="none" w:sz="0" w:space="0" w:color="auto"/>
              </w:divBdr>
              <w:divsChild>
                <w:div w:id="17382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9465">
          <w:marLeft w:val="0"/>
          <w:marRight w:val="0"/>
          <w:marTop w:val="0"/>
          <w:marBottom w:val="0"/>
          <w:divBdr>
            <w:top w:val="none" w:sz="0" w:space="0" w:color="auto"/>
            <w:left w:val="none" w:sz="0" w:space="0" w:color="auto"/>
            <w:bottom w:val="none" w:sz="0" w:space="0" w:color="auto"/>
            <w:right w:val="none" w:sz="0" w:space="0" w:color="auto"/>
          </w:divBdr>
          <w:divsChild>
            <w:div w:id="1991783587">
              <w:marLeft w:val="0"/>
              <w:marRight w:val="0"/>
              <w:marTop w:val="224"/>
              <w:marBottom w:val="0"/>
              <w:divBdr>
                <w:top w:val="none" w:sz="0" w:space="0" w:color="auto"/>
                <w:left w:val="none" w:sz="0" w:space="0" w:color="auto"/>
                <w:bottom w:val="none" w:sz="0" w:space="0" w:color="auto"/>
                <w:right w:val="none" w:sz="0" w:space="0" w:color="auto"/>
              </w:divBdr>
              <w:divsChild>
                <w:div w:id="15397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3576">
          <w:marLeft w:val="0"/>
          <w:marRight w:val="0"/>
          <w:marTop w:val="0"/>
          <w:marBottom w:val="0"/>
          <w:divBdr>
            <w:top w:val="none" w:sz="0" w:space="0" w:color="auto"/>
            <w:left w:val="none" w:sz="0" w:space="0" w:color="auto"/>
            <w:bottom w:val="none" w:sz="0" w:space="0" w:color="auto"/>
            <w:right w:val="none" w:sz="0" w:space="0" w:color="auto"/>
          </w:divBdr>
          <w:divsChild>
            <w:div w:id="580258296">
              <w:marLeft w:val="0"/>
              <w:marRight w:val="0"/>
              <w:marTop w:val="224"/>
              <w:marBottom w:val="0"/>
              <w:divBdr>
                <w:top w:val="none" w:sz="0" w:space="0" w:color="auto"/>
                <w:left w:val="none" w:sz="0" w:space="0" w:color="auto"/>
                <w:bottom w:val="none" w:sz="0" w:space="0" w:color="auto"/>
                <w:right w:val="none" w:sz="0" w:space="0" w:color="auto"/>
              </w:divBdr>
              <w:divsChild>
                <w:div w:id="14670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588">
          <w:marLeft w:val="0"/>
          <w:marRight w:val="0"/>
          <w:marTop w:val="0"/>
          <w:marBottom w:val="0"/>
          <w:divBdr>
            <w:top w:val="none" w:sz="0" w:space="0" w:color="auto"/>
            <w:left w:val="none" w:sz="0" w:space="0" w:color="auto"/>
            <w:bottom w:val="none" w:sz="0" w:space="0" w:color="auto"/>
            <w:right w:val="none" w:sz="0" w:space="0" w:color="auto"/>
          </w:divBdr>
          <w:divsChild>
            <w:div w:id="955212607">
              <w:marLeft w:val="0"/>
              <w:marRight w:val="0"/>
              <w:marTop w:val="224"/>
              <w:marBottom w:val="0"/>
              <w:divBdr>
                <w:top w:val="none" w:sz="0" w:space="0" w:color="auto"/>
                <w:left w:val="none" w:sz="0" w:space="0" w:color="auto"/>
                <w:bottom w:val="none" w:sz="0" w:space="0" w:color="auto"/>
                <w:right w:val="none" w:sz="0" w:space="0" w:color="auto"/>
              </w:divBdr>
              <w:divsChild>
                <w:div w:id="865796511">
                  <w:marLeft w:val="0"/>
                  <w:marRight w:val="0"/>
                  <w:marTop w:val="0"/>
                  <w:marBottom w:val="0"/>
                  <w:divBdr>
                    <w:top w:val="none" w:sz="0" w:space="0" w:color="auto"/>
                    <w:left w:val="none" w:sz="0" w:space="0" w:color="auto"/>
                    <w:bottom w:val="none" w:sz="0" w:space="0" w:color="auto"/>
                    <w:right w:val="none" w:sz="0" w:space="0" w:color="auto"/>
                  </w:divBdr>
                </w:div>
              </w:divsChild>
            </w:div>
            <w:div w:id="1324092227">
              <w:marLeft w:val="0"/>
              <w:marRight w:val="0"/>
              <w:marTop w:val="224"/>
              <w:marBottom w:val="0"/>
              <w:divBdr>
                <w:top w:val="none" w:sz="0" w:space="0" w:color="auto"/>
                <w:left w:val="none" w:sz="0" w:space="0" w:color="auto"/>
                <w:bottom w:val="none" w:sz="0" w:space="0" w:color="auto"/>
                <w:right w:val="none" w:sz="0" w:space="0" w:color="auto"/>
              </w:divBdr>
              <w:divsChild>
                <w:div w:id="4912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0910">
          <w:marLeft w:val="0"/>
          <w:marRight w:val="0"/>
          <w:marTop w:val="224"/>
          <w:marBottom w:val="0"/>
          <w:divBdr>
            <w:top w:val="none" w:sz="0" w:space="0" w:color="auto"/>
            <w:left w:val="none" w:sz="0" w:space="0" w:color="auto"/>
            <w:bottom w:val="none" w:sz="0" w:space="0" w:color="auto"/>
            <w:right w:val="none" w:sz="0" w:space="0" w:color="auto"/>
          </w:divBdr>
          <w:divsChild>
            <w:div w:id="20190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145">
      <w:bodyDiv w:val="1"/>
      <w:marLeft w:val="0"/>
      <w:marRight w:val="0"/>
      <w:marTop w:val="0"/>
      <w:marBottom w:val="0"/>
      <w:divBdr>
        <w:top w:val="none" w:sz="0" w:space="0" w:color="auto"/>
        <w:left w:val="none" w:sz="0" w:space="0" w:color="auto"/>
        <w:bottom w:val="none" w:sz="0" w:space="0" w:color="auto"/>
        <w:right w:val="none" w:sz="0" w:space="0" w:color="auto"/>
      </w:divBdr>
      <w:divsChild>
        <w:div w:id="347417037">
          <w:marLeft w:val="0"/>
          <w:marRight w:val="0"/>
          <w:marTop w:val="0"/>
          <w:marBottom w:val="240"/>
          <w:divBdr>
            <w:top w:val="none" w:sz="0" w:space="0" w:color="auto"/>
            <w:left w:val="none" w:sz="0" w:space="0" w:color="auto"/>
            <w:bottom w:val="none" w:sz="0" w:space="0" w:color="auto"/>
            <w:right w:val="none" w:sz="0" w:space="0" w:color="auto"/>
          </w:divBdr>
        </w:div>
      </w:divsChild>
    </w:div>
    <w:div w:id="1323698327">
      <w:bodyDiv w:val="1"/>
      <w:marLeft w:val="0"/>
      <w:marRight w:val="0"/>
      <w:marTop w:val="0"/>
      <w:marBottom w:val="0"/>
      <w:divBdr>
        <w:top w:val="none" w:sz="0" w:space="0" w:color="auto"/>
        <w:left w:val="none" w:sz="0" w:space="0" w:color="auto"/>
        <w:bottom w:val="none" w:sz="0" w:space="0" w:color="auto"/>
        <w:right w:val="none" w:sz="0" w:space="0" w:color="auto"/>
      </w:divBdr>
    </w:div>
    <w:div w:id="1662082941">
      <w:bodyDiv w:val="1"/>
      <w:marLeft w:val="0"/>
      <w:marRight w:val="0"/>
      <w:marTop w:val="0"/>
      <w:marBottom w:val="0"/>
      <w:divBdr>
        <w:top w:val="none" w:sz="0" w:space="0" w:color="auto"/>
        <w:left w:val="none" w:sz="0" w:space="0" w:color="auto"/>
        <w:bottom w:val="none" w:sz="0" w:space="0" w:color="auto"/>
        <w:right w:val="none" w:sz="0" w:space="0" w:color="auto"/>
      </w:divBdr>
      <w:divsChild>
        <w:div w:id="2010057372">
          <w:marLeft w:val="0"/>
          <w:marRight w:val="0"/>
          <w:marTop w:val="0"/>
          <w:marBottom w:val="0"/>
          <w:divBdr>
            <w:top w:val="none" w:sz="0" w:space="0" w:color="auto"/>
            <w:left w:val="none" w:sz="0" w:space="0" w:color="auto"/>
            <w:bottom w:val="none" w:sz="0" w:space="0" w:color="auto"/>
            <w:right w:val="none" w:sz="0" w:space="0" w:color="auto"/>
          </w:divBdr>
        </w:div>
        <w:div w:id="676543458">
          <w:marLeft w:val="0"/>
          <w:marRight w:val="0"/>
          <w:marTop w:val="224"/>
          <w:marBottom w:val="0"/>
          <w:divBdr>
            <w:top w:val="none" w:sz="0" w:space="0" w:color="auto"/>
            <w:left w:val="none" w:sz="0" w:space="0" w:color="auto"/>
            <w:bottom w:val="none" w:sz="0" w:space="0" w:color="auto"/>
            <w:right w:val="none" w:sz="0" w:space="0" w:color="auto"/>
          </w:divBdr>
          <w:divsChild>
            <w:div w:id="1770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ersonal-data-breach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00DA-C41F-44B9-80F3-104C1077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2018-05-19T04:27:00Z</dcterms:created>
  <dcterms:modified xsi:type="dcterms:W3CDTF">2018-05-19T04:35:00Z</dcterms:modified>
</cp:coreProperties>
</file>